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9C0C" w14:textId="40979E7F" w:rsidR="0076175B" w:rsidRPr="00D92058" w:rsidRDefault="008166EE" w:rsidP="00D92058">
      <w:pPr>
        <w:pStyle w:val="Heading1"/>
        <w:numPr>
          <w:ilvl w:val="0"/>
          <w:numId w:val="0"/>
        </w:numPr>
        <w:tabs>
          <w:tab w:val="right" w:pos="8789"/>
        </w:tabs>
        <w:rPr>
          <w:b/>
        </w:rPr>
      </w:pPr>
      <w:r>
        <w:rPr>
          <w:noProof/>
        </w:rPr>
        <w:drawing>
          <wp:anchor distT="0" distB="0" distL="114300" distR="114300" simplePos="0" relativeHeight="251658240" behindDoc="0" locked="0" layoutInCell="1" allowOverlap="1" wp14:anchorId="13A83BBA" wp14:editId="29B230E3">
            <wp:simplePos x="0" y="0"/>
            <wp:positionH relativeFrom="margin">
              <wp:align>left</wp:align>
            </wp:positionH>
            <wp:positionV relativeFrom="paragraph">
              <wp:posOffset>0</wp:posOffset>
            </wp:positionV>
            <wp:extent cx="3314065" cy="11049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14452" cy="1105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FBC">
        <w:rPr>
          <w:b/>
          <w:noProof/>
          <w:lang w:eastAsia="en-GB"/>
        </w:rPr>
        <w:drawing>
          <wp:anchor distT="0" distB="0" distL="114300" distR="114300" simplePos="0" relativeHeight="251657216" behindDoc="0" locked="0" layoutInCell="1" allowOverlap="1" wp14:anchorId="7AC5A689" wp14:editId="630A0E90">
            <wp:simplePos x="0" y="0"/>
            <wp:positionH relativeFrom="margin">
              <wp:align>right</wp:align>
            </wp:positionH>
            <wp:positionV relativeFrom="paragraph">
              <wp:posOffset>160020</wp:posOffset>
            </wp:positionV>
            <wp:extent cx="1570990" cy="829945"/>
            <wp:effectExtent l="0" t="0" r="0" b="8255"/>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9-23 at 12.58.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0990" cy="829945"/>
                    </a:xfrm>
                    <a:prstGeom prst="rect">
                      <a:avLst/>
                    </a:prstGeom>
                  </pic:spPr>
                </pic:pic>
              </a:graphicData>
            </a:graphic>
          </wp:anchor>
        </w:drawing>
      </w:r>
      <w:r w:rsidR="00080FBC">
        <w:rPr>
          <w:rFonts w:ascii="Calibri" w:hAnsi="Calibri" w:cs="Calibri"/>
          <w:color w:val="000000"/>
          <w:sz w:val="22"/>
          <w:szCs w:val="22"/>
          <w:shd w:val="clear" w:color="auto" w:fill="FFFFFF"/>
        </w:rPr>
        <w:br/>
      </w:r>
      <w:r w:rsidR="00F86C0B">
        <w:rPr>
          <w:b/>
          <w:noProof/>
          <w:lang w:eastAsia="en-GB"/>
        </w:rPr>
        <w:tab/>
      </w:r>
      <w:r w:rsidR="00F86C0B">
        <w:rPr>
          <w:b/>
          <w:noProof/>
          <w:lang w:eastAsia="en-GB"/>
        </w:rPr>
        <w:tab/>
      </w:r>
      <w:r w:rsidR="00F86C0B">
        <w:rPr>
          <w:b/>
          <w:noProof/>
          <w:lang w:eastAsia="en-GB"/>
        </w:rPr>
        <w:tab/>
      </w:r>
    </w:p>
    <w:p w14:paraId="5CCD5651" w14:textId="77777777" w:rsidR="0076175B" w:rsidRDefault="0076175B" w:rsidP="0076175B"/>
    <w:p w14:paraId="4C755916" w14:textId="3D7240E7" w:rsidR="0076175B" w:rsidRDefault="0076175B" w:rsidP="0076175B"/>
    <w:p w14:paraId="6330A8B2" w14:textId="77777777" w:rsidR="00521701" w:rsidRDefault="00521701" w:rsidP="0076175B"/>
    <w:p w14:paraId="4CE77DE7" w14:textId="77777777" w:rsidR="0076175B" w:rsidRDefault="0076175B" w:rsidP="0076175B"/>
    <w:p w14:paraId="67D5E9BF" w14:textId="77777777" w:rsidR="0076175B" w:rsidRPr="00213A61" w:rsidRDefault="0076175B" w:rsidP="0076175B"/>
    <w:p w14:paraId="147534A2" w14:textId="77777777" w:rsidR="0076175B" w:rsidRPr="004B1C5D" w:rsidRDefault="0076175B" w:rsidP="0076175B">
      <w:pPr>
        <w:jc w:val="center"/>
        <w:rPr>
          <w:rFonts w:asciiTheme="majorHAnsi" w:hAnsiTheme="majorHAnsi"/>
          <w:b/>
        </w:rPr>
      </w:pPr>
    </w:p>
    <w:tbl>
      <w:tblPr>
        <w:tblStyle w:val="TableGrid"/>
        <w:tblW w:w="0" w:type="auto"/>
        <w:tblLook w:val="04A0" w:firstRow="1" w:lastRow="0" w:firstColumn="1" w:lastColumn="0" w:noHBand="0" w:noVBand="1"/>
      </w:tblPr>
      <w:tblGrid>
        <w:gridCol w:w="4390"/>
        <w:gridCol w:w="4620"/>
      </w:tblGrid>
      <w:tr w:rsidR="0076175B" w14:paraId="3803CF5C" w14:textId="77777777" w:rsidTr="3EFEFD8E">
        <w:tc>
          <w:tcPr>
            <w:tcW w:w="4390" w:type="dxa"/>
          </w:tcPr>
          <w:p w14:paraId="6F70E212" w14:textId="7BFAE54E"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P</w:t>
            </w:r>
            <w:r w:rsidR="00BF42FE">
              <w:rPr>
                <w:rFonts w:asciiTheme="majorHAnsi" w:eastAsiaTheme="majorEastAsia" w:hAnsiTheme="majorHAnsi" w:cstheme="majorBidi"/>
                <w:b/>
                <w:color w:val="2E74B5" w:themeColor="accent1" w:themeShade="BF"/>
                <w:sz w:val="32"/>
                <w:szCs w:val="32"/>
              </w:rPr>
              <w:t>olicy</w:t>
            </w:r>
            <w:r>
              <w:rPr>
                <w:rFonts w:asciiTheme="majorHAnsi" w:eastAsiaTheme="majorEastAsia" w:hAnsiTheme="majorHAnsi" w:cstheme="majorBidi"/>
                <w:b/>
                <w:color w:val="2E74B5" w:themeColor="accent1" w:themeShade="BF"/>
                <w:sz w:val="32"/>
                <w:szCs w:val="32"/>
              </w:rPr>
              <w:t>:</w:t>
            </w:r>
          </w:p>
        </w:tc>
        <w:tc>
          <w:tcPr>
            <w:tcW w:w="4620" w:type="dxa"/>
          </w:tcPr>
          <w:p w14:paraId="589DC7B8" w14:textId="01A6DB26" w:rsidR="0076175B" w:rsidRDefault="00BC1F5E"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ECT Policy (Early Career Teachers)</w:t>
            </w:r>
          </w:p>
        </w:tc>
      </w:tr>
      <w:tr w:rsidR="0076175B" w14:paraId="3E2E862C" w14:textId="77777777" w:rsidTr="3EFEFD8E">
        <w:tc>
          <w:tcPr>
            <w:tcW w:w="4390" w:type="dxa"/>
          </w:tcPr>
          <w:p w14:paraId="0536DD62"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Owner:</w:t>
            </w:r>
          </w:p>
        </w:tc>
        <w:tc>
          <w:tcPr>
            <w:tcW w:w="4620" w:type="dxa"/>
          </w:tcPr>
          <w:p w14:paraId="01308A19" w14:textId="268B0096" w:rsidR="0076175B" w:rsidRPr="00F87876" w:rsidRDefault="00BC1F5E" w:rsidP="003721FA">
            <w:pPr>
              <w:rPr>
                <w:rFonts w:asciiTheme="majorHAnsi" w:eastAsiaTheme="majorEastAsia" w:hAnsiTheme="majorHAnsi" w:cstheme="majorBidi"/>
                <w:bCs/>
                <w:color w:val="2E74B5" w:themeColor="accent1" w:themeShade="BF"/>
                <w:sz w:val="32"/>
                <w:szCs w:val="32"/>
              </w:rPr>
            </w:pPr>
            <w:r>
              <w:rPr>
                <w:rFonts w:asciiTheme="majorHAnsi" w:eastAsiaTheme="majorEastAsia" w:hAnsiTheme="majorHAnsi" w:cstheme="majorBidi"/>
                <w:bCs/>
                <w:color w:val="2E74B5" w:themeColor="accent1" w:themeShade="BF"/>
                <w:sz w:val="32"/>
                <w:szCs w:val="32"/>
              </w:rPr>
              <w:t>Erica Brown</w:t>
            </w:r>
          </w:p>
        </w:tc>
      </w:tr>
      <w:tr w:rsidR="0076175B" w14:paraId="1F7E7FAD" w14:textId="77777777" w:rsidTr="3EFEFD8E">
        <w:tc>
          <w:tcPr>
            <w:tcW w:w="4390" w:type="dxa"/>
          </w:tcPr>
          <w:p w14:paraId="19DE1C75"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Approving Board:</w:t>
            </w:r>
          </w:p>
        </w:tc>
        <w:tc>
          <w:tcPr>
            <w:tcW w:w="4620" w:type="dxa"/>
          </w:tcPr>
          <w:p w14:paraId="78F6649B" w14:textId="0D0409FB" w:rsidR="0076175B" w:rsidRPr="00F87876" w:rsidRDefault="00BC1F5E" w:rsidP="003721FA">
            <w:pPr>
              <w:rPr>
                <w:rFonts w:asciiTheme="majorHAnsi" w:eastAsiaTheme="majorEastAsia" w:hAnsiTheme="majorHAnsi" w:cstheme="majorBidi"/>
                <w:bCs/>
                <w:color w:val="2E74B5" w:themeColor="accent1" w:themeShade="BF"/>
                <w:sz w:val="32"/>
                <w:szCs w:val="32"/>
              </w:rPr>
            </w:pPr>
            <w:r>
              <w:rPr>
                <w:rFonts w:asciiTheme="majorHAnsi" w:eastAsiaTheme="majorEastAsia" w:hAnsiTheme="majorHAnsi" w:cstheme="majorBidi"/>
                <w:bCs/>
                <w:color w:val="2E74B5" w:themeColor="accent1" w:themeShade="BF"/>
                <w:sz w:val="32"/>
                <w:szCs w:val="32"/>
              </w:rPr>
              <w:t>SLT (3 members)</w:t>
            </w:r>
          </w:p>
        </w:tc>
      </w:tr>
      <w:tr w:rsidR="0076175B" w14:paraId="4E35BDE7" w14:textId="77777777" w:rsidTr="3EFEFD8E">
        <w:tc>
          <w:tcPr>
            <w:tcW w:w="4390" w:type="dxa"/>
          </w:tcPr>
          <w:p w14:paraId="52F4E2F1" w14:textId="25A38A5A"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Date of review:</w:t>
            </w:r>
          </w:p>
        </w:tc>
        <w:tc>
          <w:tcPr>
            <w:tcW w:w="4620" w:type="dxa"/>
          </w:tcPr>
          <w:p w14:paraId="17B32240" w14:textId="350EA9F1" w:rsidR="00141682" w:rsidRPr="00F87876" w:rsidRDefault="00BC1F5E" w:rsidP="3EFEFD8E">
            <w:pPr>
              <w:rPr>
                <w:rFonts w:asciiTheme="majorHAnsi" w:eastAsiaTheme="majorEastAsia" w:hAnsiTheme="majorHAnsi" w:cstheme="majorBidi"/>
                <w:color w:val="2E74B5" w:themeColor="accent1" w:themeShade="BF"/>
                <w:sz w:val="32"/>
                <w:szCs w:val="32"/>
              </w:rPr>
            </w:pPr>
            <w:r w:rsidRPr="3EFEFD8E">
              <w:rPr>
                <w:rFonts w:asciiTheme="majorHAnsi" w:eastAsiaTheme="majorEastAsia" w:hAnsiTheme="majorHAnsi" w:cstheme="majorBidi"/>
                <w:color w:val="2E74B5" w:themeColor="accent1" w:themeShade="BF"/>
                <w:sz w:val="32"/>
                <w:szCs w:val="32"/>
              </w:rPr>
              <w:t>November 202</w:t>
            </w:r>
            <w:r w:rsidR="28C4F8F6" w:rsidRPr="3EFEFD8E">
              <w:rPr>
                <w:rFonts w:asciiTheme="majorHAnsi" w:eastAsiaTheme="majorEastAsia" w:hAnsiTheme="majorHAnsi" w:cstheme="majorBidi"/>
                <w:color w:val="2E74B5" w:themeColor="accent1" w:themeShade="BF"/>
                <w:sz w:val="32"/>
                <w:szCs w:val="32"/>
              </w:rPr>
              <w:t>5</w:t>
            </w:r>
          </w:p>
        </w:tc>
      </w:tr>
      <w:tr w:rsidR="0076175B" w14:paraId="17620771" w14:textId="77777777" w:rsidTr="3EFEFD8E">
        <w:tc>
          <w:tcPr>
            <w:tcW w:w="4390" w:type="dxa"/>
          </w:tcPr>
          <w:p w14:paraId="7EC319C9"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Date of next review:</w:t>
            </w:r>
          </w:p>
        </w:tc>
        <w:tc>
          <w:tcPr>
            <w:tcW w:w="4620" w:type="dxa"/>
          </w:tcPr>
          <w:p w14:paraId="1DC1302E" w14:textId="169EC016" w:rsidR="0076175B" w:rsidRPr="00F87876" w:rsidRDefault="00BC1F5E" w:rsidP="3EFEFD8E">
            <w:pPr>
              <w:rPr>
                <w:rFonts w:asciiTheme="majorHAnsi" w:eastAsiaTheme="majorEastAsia" w:hAnsiTheme="majorHAnsi" w:cstheme="majorBidi"/>
                <w:color w:val="2E74B5" w:themeColor="accent1" w:themeShade="BF"/>
                <w:sz w:val="32"/>
                <w:szCs w:val="32"/>
              </w:rPr>
            </w:pPr>
            <w:r w:rsidRPr="3EFEFD8E">
              <w:rPr>
                <w:rFonts w:asciiTheme="majorHAnsi" w:eastAsiaTheme="majorEastAsia" w:hAnsiTheme="majorHAnsi" w:cstheme="majorBidi"/>
                <w:color w:val="2E74B5" w:themeColor="accent1" w:themeShade="BF"/>
                <w:sz w:val="32"/>
                <w:szCs w:val="32"/>
              </w:rPr>
              <w:t>September 202</w:t>
            </w:r>
            <w:r w:rsidR="153696F9" w:rsidRPr="3EFEFD8E">
              <w:rPr>
                <w:rFonts w:asciiTheme="majorHAnsi" w:eastAsiaTheme="majorEastAsia" w:hAnsiTheme="majorHAnsi" w:cstheme="majorBidi"/>
                <w:color w:val="2E74B5" w:themeColor="accent1" w:themeShade="BF"/>
                <w:sz w:val="32"/>
                <w:szCs w:val="32"/>
              </w:rPr>
              <w:t>6</w:t>
            </w:r>
          </w:p>
        </w:tc>
      </w:tr>
      <w:tr w:rsidR="0076175B" w14:paraId="4011C283" w14:textId="77777777" w:rsidTr="3EFEFD8E">
        <w:tc>
          <w:tcPr>
            <w:tcW w:w="4390" w:type="dxa"/>
          </w:tcPr>
          <w:p w14:paraId="26C42C68"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Publish Status:</w:t>
            </w:r>
          </w:p>
        </w:tc>
        <w:tc>
          <w:tcPr>
            <w:tcW w:w="4620" w:type="dxa"/>
          </w:tcPr>
          <w:p w14:paraId="4EE847A7" w14:textId="25DE68C7" w:rsidR="0076175B" w:rsidRPr="00F87876" w:rsidRDefault="0076175B" w:rsidP="003721FA">
            <w:pPr>
              <w:rPr>
                <w:rFonts w:asciiTheme="majorHAnsi" w:eastAsiaTheme="majorEastAsia" w:hAnsiTheme="majorHAnsi" w:cstheme="majorBidi"/>
                <w:bCs/>
                <w:color w:val="2E74B5" w:themeColor="accent1" w:themeShade="BF"/>
                <w:sz w:val="32"/>
                <w:szCs w:val="32"/>
              </w:rPr>
            </w:pPr>
          </w:p>
        </w:tc>
      </w:tr>
      <w:tr w:rsidR="0076175B" w14:paraId="03994141" w14:textId="77777777" w:rsidTr="3EFEFD8E">
        <w:tc>
          <w:tcPr>
            <w:tcW w:w="4390" w:type="dxa"/>
          </w:tcPr>
          <w:p w14:paraId="5EE4E830"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Version:</w:t>
            </w:r>
          </w:p>
        </w:tc>
        <w:tc>
          <w:tcPr>
            <w:tcW w:w="4620" w:type="dxa"/>
          </w:tcPr>
          <w:p w14:paraId="0EAC5082" w14:textId="50971DAC" w:rsidR="0076175B" w:rsidRPr="00F87876" w:rsidRDefault="0076175B" w:rsidP="003721FA">
            <w:pPr>
              <w:rPr>
                <w:rFonts w:asciiTheme="majorHAnsi" w:eastAsiaTheme="majorEastAsia" w:hAnsiTheme="majorHAnsi" w:cstheme="majorBidi"/>
                <w:bCs/>
                <w:color w:val="2E74B5" w:themeColor="accent1" w:themeShade="BF"/>
                <w:sz w:val="32"/>
                <w:szCs w:val="32"/>
              </w:rPr>
            </w:pPr>
          </w:p>
        </w:tc>
      </w:tr>
    </w:tbl>
    <w:p w14:paraId="50260499" w14:textId="77777777" w:rsidR="00DB7F54" w:rsidRPr="00DB7F54" w:rsidRDefault="00DB7F54" w:rsidP="00DB7F54">
      <w:pPr>
        <w:autoSpaceDE w:val="0"/>
        <w:autoSpaceDN w:val="0"/>
        <w:adjustRightInd w:val="0"/>
        <w:spacing w:after="0" w:line="240" w:lineRule="auto"/>
        <w:rPr>
          <w:rFonts w:ascii="Arial" w:hAnsi="Arial" w:cs="Arial"/>
          <w:color w:val="000000"/>
          <w:sz w:val="24"/>
          <w:szCs w:val="24"/>
        </w:rPr>
      </w:pPr>
    </w:p>
    <w:p w14:paraId="4FA3ED82" w14:textId="77777777" w:rsidR="00B8611A" w:rsidRPr="00B8611A" w:rsidRDefault="00B8611A" w:rsidP="00B8611A">
      <w:pPr>
        <w:autoSpaceDE w:val="0"/>
        <w:autoSpaceDN w:val="0"/>
        <w:adjustRightInd w:val="0"/>
        <w:spacing w:after="0" w:line="240" w:lineRule="auto"/>
        <w:rPr>
          <w:rFonts w:ascii="Arial" w:hAnsi="Arial" w:cs="Arial"/>
          <w:color w:val="000000"/>
          <w:sz w:val="24"/>
          <w:szCs w:val="24"/>
        </w:rPr>
      </w:pPr>
    </w:p>
    <w:p w14:paraId="4D3409D2" w14:textId="7DB68BEE" w:rsidR="00535A33" w:rsidRDefault="00535A33" w:rsidP="00B8611A"/>
    <w:p w14:paraId="64AD3CA2" w14:textId="77777777" w:rsidR="00222C0F" w:rsidRDefault="00222C0F" w:rsidP="00B8611A"/>
    <w:p w14:paraId="31ED3A5E" w14:textId="77777777" w:rsidR="00222C0F" w:rsidRDefault="00222C0F" w:rsidP="00B8611A"/>
    <w:p w14:paraId="0EEC2B35" w14:textId="77777777" w:rsidR="00222C0F" w:rsidRDefault="00222C0F" w:rsidP="00B8611A"/>
    <w:p w14:paraId="2CD39016" w14:textId="77777777" w:rsidR="00222C0F" w:rsidRDefault="00222C0F" w:rsidP="00B8611A"/>
    <w:p w14:paraId="26DD961B" w14:textId="77777777" w:rsidR="00222C0F" w:rsidRDefault="00222C0F" w:rsidP="00B8611A"/>
    <w:p w14:paraId="77D1AB0B" w14:textId="77777777" w:rsidR="00222C0F" w:rsidRDefault="00222C0F" w:rsidP="00B8611A"/>
    <w:p w14:paraId="0E39DAAD" w14:textId="77777777" w:rsidR="00222C0F" w:rsidRDefault="00222C0F" w:rsidP="00B8611A"/>
    <w:p w14:paraId="3CE05913" w14:textId="77777777" w:rsidR="00222C0F" w:rsidRDefault="00222C0F" w:rsidP="00B8611A"/>
    <w:p w14:paraId="15C29CA0" w14:textId="77777777" w:rsidR="00222C0F" w:rsidRDefault="00222C0F" w:rsidP="00B8611A"/>
    <w:p w14:paraId="5A5FF7EE" w14:textId="77777777" w:rsidR="00222C0F" w:rsidRDefault="00222C0F" w:rsidP="00B8611A"/>
    <w:p w14:paraId="333C9F5F"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8"/>
          <w:szCs w:val="28"/>
        </w:rPr>
        <w:lastRenderedPageBreak/>
        <w:t>Rationale</w:t>
      </w:r>
      <w:r>
        <w:rPr>
          <w:rStyle w:val="eop"/>
          <w:rFonts w:ascii="Calibri" w:eastAsiaTheme="majorEastAsia" w:hAnsi="Calibri" w:cs="Calibri"/>
          <w:color w:val="000000"/>
          <w:sz w:val="28"/>
          <w:szCs w:val="28"/>
        </w:rPr>
        <w:t> </w:t>
      </w:r>
    </w:p>
    <w:p w14:paraId="37BABEFA"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The first two years of teaching are not only very demanding but also of considerable significance in the professional development of an Early Career Teacher (ECT). Our school’s induction process ensures that the appropriate guidance, support, and professional development to include the development of skills, knowledge, expectations, and observations are provided through a structured but flexible individualised programme explicitly linked to the Early Career Framework (ECF): </w:t>
      </w:r>
      <w:hyperlink r:id="rId11" w:tgtFrame="_blank" w:history="1">
        <w:r>
          <w:rPr>
            <w:rStyle w:val="normaltextrun"/>
            <w:rFonts w:ascii="Calibri" w:eastAsiaTheme="majorEastAsia" w:hAnsi="Calibri" w:cs="Calibri"/>
            <w:color w:val="0000FF"/>
            <w:u w:val="single"/>
          </w:rPr>
          <w:t>https://assets.publishing.service.gov.uk/government/uploads/system/uploads/attachment_data/file/978358/Early-Career_Framework_April_2021.pdf</w:t>
        </w:r>
      </w:hyperlink>
      <w:r>
        <w:rPr>
          <w:rStyle w:val="eop"/>
          <w:rFonts w:ascii="Calibri" w:eastAsiaTheme="majorEastAsia" w:hAnsi="Calibri" w:cs="Calibri"/>
        </w:rPr>
        <w:t> </w:t>
      </w:r>
    </w:p>
    <w:p w14:paraId="123D50E5"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This programme will enable an ECT to form a secure foundation upon which a successful teaching career, fulfilling their professional duties, can be built. </w:t>
      </w:r>
      <w:r>
        <w:rPr>
          <w:rStyle w:val="normaltextrun"/>
          <w:rFonts w:ascii="Calibri" w:eastAsiaTheme="majorEastAsia" w:hAnsi="Calibri" w:cs="Calibri"/>
          <w:shd w:val="clear" w:color="auto" w:fill="FFFF00"/>
        </w:rPr>
        <w:t>Our school has decided to adopt the school based ECF…</w:t>
      </w:r>
      <w:r>
        <w:rPr>
          <w:rStyle w:val="normaltextrun"/>
          <w:rFonts w:ascii="Calibri" w:eastAsiaTheme="majorEastAsia" w:hAnsi="Calibri" w:cs="Calibri"/>
        </w:rPr>
        <w:t xml:space="preserve"> This programme will include ongoing monitoring and assessment of performance against the Teacher Standards:</w:t>
      </w:r>
      <w:r>
        <w:rPr>
          <w:rStyle w:val="eop"/>
          <w:rFonts w:ascii="Calibri" w:eastAsiaTheme="majorEastAsia" w:hAnsi="Calibri" w:cs="Calibri"/>
        </w:rPr>
        <w:t> </w:t>
      </w:r>
    </w:p>
    <w:p w14:paraId="55550D06"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hyperlink r:id="rId12" w:tgtFrame="_blank" w:history="1">
        <w:r>
          <w:rPr>
            <w:rStyle w:val="normaltextrun"/>
            <w:rFonts w:ascii="Calibri" w:eastAsiaTheme="majorEastAsia" w:hAnsi="Calibri" w:cs="Calibri"/>
            <w:color w:val="0000FF"/>
            <w:u w:val="single"/>
          </w:rPr>
          <w:t>https://assets.publishing.service.gov.uk/government/uploads/system/uploads/attachment_data/file/665522/Teachers_standard_information.pdf</w:t>
        </w:r>
      </w:hyperlink>
      <w:r>
        <w:rPr>
          <w:rStyle w:val="normaltextrun"/>
          <w:rFonts w:ascii="Calibri" w:eastAsiaTheme="majorEastAsia" w:hAnsi="Calibri" w:cs="Calibri"/>
        </w:rPr>
        <w:t> </w:t>
      </w:r>
      <w:r>
        <w:rPr>
          <w:rStyle w:val="eop"/>
          <w:rFonts w:ascii="Calibri" w:eastAsiaTheme="majorEastAsia" w:hAnsi="Calibri" w:cs="Calibri"/>
        </w:rPr>
        <w:t> </w:t>
      </w:r>
    </w:p>
    <w:p w14:paraId="3AE182FC"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86AD549"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Purposes</w:t>
      </w:r>
      <w:r>
        <w:rPr>
          <w:rStyle w:val="eop"/>
          <w:rFonts w:ascii="Calibri" w:eastAsiaTheme="majorEastAsia" w:hAnsi="Calibri" w:cs="Calibri"/>
          <w:sz w:val="28"/>
          <w:szCs w:val="28"/>
        </w:rPr>
        <w:t> </w:t>
      </w:r>
    </w:p>
    <w:p w14:paraId="35854642"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Our school’s induction process has been designed to make a significant contribution to both the professional and personal development of ECTs. The purposes of induction include:</w:t>
      </w:r>
      <w:r>
        <w:rPr>
          <w:rStyle w:val="eop"/>
          <w:rFonts w:ascii="Calibri" w:eastAsiaTheme="majorEastAsia" w:hAnsi="Calibri" w:cs="Calibri"/>
        </w:rPr>
        <w:t> </w:t>
      </w:r>
    </w:p>
    <w:p w14:paraId="54E52BD1" w14:textId="77777777" w:rsidR="00222C0F" w:rsidRDefault="00222C0F" w:rsidP="00222C0F">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programmes appropriate to the individual needs of the ECTs</w:t>
      </w:r>
      <w:r>
        <w:rPr>
          <w:rStyle w:val="eop"/>
          <w:rFonts w:ascii="Calibri" w:eastAsiaTheme="majorEastAsia" w:hAnsi="Calibri" w:cs="Calibri"/>
        </w:rPr>
        <w:t> </w:t>
      </w:r>
    </w:p>
    <w:p w14:paraId="76CEC298" w14:textId="77777777" w:rsidR="00222C0F" w:rsidRDefault="00222C0F" w:rsidP="00222C0F">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appropriate coaching and support through the role of an identified Mentor</w:t>
      </w:r>
      <w:r>
        <w:rPr>
          <w:rStyle w:val="eop"/>
          <w:rFonts w:ascii="Calibri" w:eastAsiaTheme="majorEastAsia" w:hAnsi="Calibri" w:cs="Calibri"/>
        </w:rPr>
        <w:t> </w:t>
      </w:r>
    </w:p>
    <w:p w14:paraId="750C40F8" w14:textId="77777777" w:rsidR="00222C0F" w:rsidRDefault="00222C0F" w:rsidP="00222C0F">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ECTs with examples of good practice</w:t>
      </w:r>
      <w:r>
        <w:rPr>
          <w:rStyle w:val="eop"/>
          <w:rFonts w:ascii="Calibri" w:eastAsiaTheme="majorEastAsia" w:hAnsi="Calibri" w:cs="Calibri"/>
        </w:rPr>
        <w:t> </w:t>
      </w:r>
    </w:p>
    <w:p w14:paraId="72255EC1" w14:textId="77777777" w:rsidR="00222C0F" w:rsidRDefault="00222C0F" w:rsidP="00222C0F">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help ECTs form good relationships with all members of the school community and stakeholders</w:t>
      </w:r>
      <w:r>
        <w:rPr>
          <w:rStyle w:val="eop"/>
          <w:rFonts w:ascii="Calibri" w:eastAsiaTheme="majorEastAsia" w:hAnsi="Calibri" w:cs="Calibri"/>
        </w:rPr>
        <w:t> </w:t>
      </w:r>
    </w:p>
    <w:p w14:paraId="1EB10B46" w14:textId="77777777" w:rsidR="00222C0F" w:rsidRDefault="00222C0F" w:rsidP="00222C0F">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help ECTs become aware of the school’s role in the local community</w:t>
      </w:r>
      <w:r>
        <w:rPr>
          <w:rStyle w:val="eop"/>
          <w:rFonts w:ascii="Calibri" w:eastAsiaTheme="majorEastAsia" w:hAnsi="Calibri" w:cs="Calibri"/>
        </w:rPr>
        <w:t> </w:t>
      </w:r>
    </w:p>
    <w:p w14:paraId="090A4B55" w14:textId="77777777" w:rsidR="00222C0F" w:rsidRDefault="00222C0F" w:rsidP="00222C0F">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encourage and enable reflection on an ECTs own and observed practice</w:t>
      </w:r>
      <w:r>
        <w:rPr>
          <w:rStyle w:val="eop"/>
          <w:rFonts w:ascii="Calibri" w:eastAsiaTheme="majorEastAsia" w:hAnsi="Calibri" w:cs="Calibri"/>
        </w:rPr>
        <w:t> </w:t>
      </w:r>
    </w:p>
    <w:p w14:paraId="6AF8B99E" w14:textId="77777777" w:rsidR="00222C0F" w:rsidRDefault="00222C0F" w:rsidP="00222C0F">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opportunities to recognise and celebrate good practice</w:t>
      </w:r>
      <w:r>
        <w:rPr>
          <w:rStyle w:val="eop"/>
          <w:rFonts w:ascii="Calibri" w:eastAsiaTheme="majorEastAsia" w:hAnsi="Calibri" w:cs="Calibri"/>
        </w:rPr>
        <w:t> </w:t>
      </w:r>
    </w:p>
    <w:p w14:paraId="62F5D603" w14:textId="77777777" w:rsidR="00222C0F" w:rsidRDefault="00222C0F" w:rsidP="00222C0F">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opportunities to identify areas for development</w:t>
      </w:r>
      <w:r>
        <w:rPr>
          <w:rStyle w:val="eop"/>
          <w:rFonts w:ascii="Calibri" w:eastAsiaTheme="majorEastAsia" w:hAnsi="Calibri" w:cs="Calibri"/>
        </w:rPr>
        <w:t> </w:t>
      </w:r>
    </w:p>
    <w:p w14:paraId="0C20156C" w14:textId="77777777" w:rsidR="00222C0F" w:rsidRDefault="00222C0F" w:rsidP="00222C0F">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help ECTs to develop an overview of a teacher’s role and responsibilities </w:t>
      </w:r>
      <w:r>
        <w:rPr>
          <w:rStyle w:val="eop"/>
          <w:rFonts w:ascii="Calibri" w:eastAsiaTheme="majorEastAsia" w:hAnsi="Calibri" w:cs="Calibri"/>
        </w:rPr>
        <w:t> </w:t>
      </w:r>
    </w:p>
    <w:p w14:paraId="45E28C07" w14:textId="77777777" w:rsidR="00222C0F" w:rsidRDefault="00222C0F" w:rsidP="00222C0F">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a foundation for longer-term professional development</w:t>
      </w:r>
      <w:r>
        <w:rPr>
          <w:rStyle w:val="eop"/>
          <w:rFonts w:ascii="Calibri" w:eastAsiaTheme="majorEastAsia" w:hAnsi="Calibri" w:cs="Calibri"/>
        </w:rPr>
        <w:t> </w:t>
      </w:r>
    </w:p>
    <w:p w14:paraId="1F22C070" w14:textId="77777777" w:rsidR="00222C0F" w:rsidRDefault="00222C0F" w:rsidP="00222C0F">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provide regular feedback on practice both verbal and written by an Induction Tutor </w:t>
      </w:r>
      <w:r>
        <w:rPr>
          <w:rStyle w:val="eop"/>
          <w:rFonts w:ascii="Calibri" w:eastAsiaTheme="majorEastAsia" w:hAnsi="Calibri" w:cs="Calibri"/>
        </w:rPr>
        <w:t> </w:t>
      </w:r>
    </w:p>
    <w:p w14:paraId="133D3EA4" w14:textId="77777777" w:rsidR="00222C0F" w:rsidRDefault="00222C0F" w:rsidP="00222C0F">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To help ECTs perform satisfactorily against the Teachers’ Standards.</w:t>
      </w:r>
      <w:r>
        <w:rPr>
          <w:rStyle w:val="eop"/>
          <w:rFonts w:ascii="Calibri" w:eastAsiaTheme="majorEastAsia" w:hAnsi="Calibri" w:cs="Calibri"/>
        </w:rPr>
        <w:t> </w:t>
      </w:r>
    </w:p>
    <w:p w14:paraId="2F98C4AA"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whole staff will be kept informed of the school Induction Policy and will be encouraged to participate, wherever possible, in its implementation and development. </w:t>
      </w:r>
      <w:r>
        <w:rPr>
          <w:rStyle w:val="eop"/>
          <w:rFonts w:ascii="Calibri" w:eastAsiaTheme="majorEastAsia" w:hAnsi="Calibri" w:cs="Calibri"/>
        </w:rPr>
        <w:t> </w:t>
      </w:r>
    </w:p>
    <w:p w14:paraId="12BD723F"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This policy reflects a structured whole school approach to teacher induction and recognises that the quality and commitment of the people who supervise the induction is a crucial factor in its continued success. Our school is fully committed to the training and development of the Induction Tutor and Mentor in addition to the ECT.</w:t>
      </w:r>
      <w:r>
        <w:rPr>
          <w:rStyle w:val="eop"/>
          <w:rFonts w:ascii="Calibri" w:eastAsiaTheme="majorEastAsia" w:hAnsi="Calibri" w:cs="Calibri"/>
        </w:rPr>
        <w:t> </w:t>
      </w:r>
    </w:p>
    <w:p w14:paraId="08D48F1E"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8"/>
          <w:szCs w:val="28"/>
        </w:rPr>
        <w:t> </w:t>
      </w:r>
    </w:p>
    <w:p w14:paraId="5D83162A"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8"/>
          <w:szCs w:val="28"/>
        </w:rPr>
        <w:t>Roles and Responsibilities</w:t>
      </w:r>
      <w:r>
        <w:rPr>
          <w:rStyle w:val="eop"/>
          <w:rFonts w:ascii="Calibri" w:eastAsiaTheme="majorEastAsia" w:hAnsi="Calibri" w:cs="Calibri"/>
          <w:color w:val="000000"/>
          <w:sz w:val="28"/>
          <w:szCs w:val="28"/>
        </w:rPr>
        <w:t> </w:t>
      </w:r>
    </w:p>
    <w:p w14:paraId="08F61FCE"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The Academy Committee</w:t>
      </w:r>
      <w:r>
        <w:rPr>
          <w:rStyle w:val="eop"/>
          <w:rFonts w:ascii="Calibri" w:eastAsiaTheme="majorEastAsia" w:hAnsi="Calibri" w:cs="Calibri"/>
          <w:color w:val="000000"/>
        </w:rPr>
        <w:t> </w:t>
      </w:r>
    </w:p>
    <w:p w14:paraId="652ECD71"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The Academy Committee will be fully aware of the contents of the DfE’s Statutory Guidance on Induction for Early Career Teachers (England) which sets out the school’s responsibility to provide the necessary monitoring, support, and assessments for ECTs. Careful consideration </w:t>
      </w:r>
      <w:r>
        <w:rPr>
          <w:rStyle w:val="normaltextrun"/>
          <w:rFonts w:ascii="Calibri" w:eastAsiaTheme="majorEastAsia" w:hAnsi="Calibri" w:cs="Calibri"/>
          <w:color w:val="000000"/>
        </w:rPr>
        <w:lastRenderedPageBreak/>
        <w:t xml:space="preserve">is given, prior to any decision to appoint an ECT, as to whether the school currently has the capacity to fulfil all of its statutory and non-statutory obligations. The Academy Committee will be </w:t>
      </w:r>
      <w:r>
        <w:rPr>
          <w:rStyle w:val="normaltextrun"/>
          <w:rFonts w:ascii="Calibri" w:eastAsiaTheme="majorEastAsia" w:hAnsi="Calibri" w:cs="Calibri"/>
        </w:rPr>
        <w:t>kept aware and up to date about induction arrangements and the progress made by ECTs during induction</w:t>
      </w:r>
      <w:r>
        <w:rPr>
          <w:rStyle w:val="normaltextrun"/>
          <w:rFonts w:ascii="Calibri" w:eastAsiaTheme="majorEastAsia" w:hAnsi="Calibri" w:cs="Calibri"/>
          <w:color w:val="000000"/>
        </w:rPr>
        <w:t>.</w:t>
      </w:r>
      <w:r>
        <w:rPr>
          <w:rStyle w:val="eop"/>
          <w:rFonts w:ascii="Calibri" w:eastAsiaTheme="majorEastAsia" w:hAnsi="Calibri" w:cs="Calibri"/>
          <w:color w:val="000000"/>
        </w:rPr>
        <w:t> </w:t>
      </w:r>
    </w:p>
    <w:p w14:paraId="4F8C5D50"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The school’s Induction Leader is: Claire Everton</w:t>
      </w:r>
      <w:r>
        <w:rPr>
          <w:rStyle w:val="eop"/>
          <w:rFonts w:ascii="Calibri" w:eastAsiaTheme="majorEastAsia" w:hAnsi="Calibri" w:cs="Calibri"/>
          <w:color w:val="000000"/>
        </w:rPr>
        <w:t> </w:t>
      </w:r>
    </w:p>
    <w:p w14:paraId="56E4AA2A"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The school’s Induction Tutor is: Erica Brown</w:t>
      </w:r>
      <w:r>
        <w:rPr>
          <w:rStyle w:val="eop"/>
          <w:rFonts w:ascii="Calibri" w:eastAsiaTheme="majorEastAsia" w:hAnsi="Calibri" w:cs="Calibri"/>
          <w:color w:val="000000"/>
        </w:rPr>
        <w:t> </w:t>
      </w:r>
    </w:p>
    <w:p w14:paraId="1D6100E0"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The Academy Committee member with responsibility for ECTs is: To be confirmed</w:t>
      </w:r>
      <w:r>
        <w:rPr>
          <w:rStyle w:val="eop"/>
          <w:rFonts w:ascii="Calibri" w:eastAsiaTheme="majorEastAsia" w:hAnsi="Calibri" w:cs="Calibri"/>
          <w:color w:val="000000"/>
        </w:rPr>
        <w:t> </w:t>
      </w:r>
    </w:p>
    <w:p w14:paraId="2D6B4F44"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08CCBEE5"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The Principal</w:t>
      </w:r>
      <w:r>
        <w:rPr>
          <w:rStyle w:val="eop"/>
          <w:rFonts w:ascii="Calibri" w:eastAsiaTheme="majorEastAsia" w:hAnsi="Calibri" w:cs="Calibri"/>
          <w:color w:val="000000"/>
        </w:rPr>
        <w:t> </w:t>
      </w:r>
    </w:p>
    <w:p w14:paraId="31C40CD7"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The Principal at the Richard Barnes Academy plays a significant and leading role in the process of inducting new colleagues to the profession. While responsibility for the implementation of the Induction Programme has been delegated to an Induction Tutor, the Principal will also observe each ECT during the year. Statutory responsibilities are:</w:t>
      </w:r>
      <w:r>
        <w:rPr>
          <w:rStyle w:val="eop"/>
          <w:rFonts w:ascii="Calibri" w:eastAsiaTheme="majorEastAsia" w:hAnsi="Calibri" w:cs="Calibri"/>
          <w:color w:val="000000"/>
        </w:rPr>
        <w:t> </w:t>
      </w:r>
    </w:p>
    <w:p w14:paraId="492D700B" w14:textId="77777777" w:rsidR="00222C0F" w:rsidRDefault="00222C0F" w:rsidP="00222C0F">
      <w:pPr>
        <w:pStyle w:val="paragraph"/>
        <w:numPr>
          <w:ilvl w:val="0"/>
          <w:numId w:val="19"/>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ensuring an appropriate induction programme is set up (including a 10% release time in Year One and 5% in Year Two of induction;</w:t>
      </w:r>
      <w:r>
        <w:rPr>
          <w:rStyle w:val="eop"/>
          <w:rFonts w:ascii="Calibri" w:eastAsiaTheme="majorEastAsia" w:hAnsi="Calibri" w:cs="Calibri"/>
        </w:rPr>
        <w:t> </w:t>
      </w:r>
    </w:p>
    <w:p w14:paraId="6F302AF6" w14:textId="77777777" w:rsidR="00222C0F" w:rsidRDefault="00222C0F" w:rsidP="00222C0F">
      <w:pPr>
        <w:pStyle w:val="paragraph"/>
        <w:numPr>
          <w:ilvl w:val="0"/>
          <w:numId w:val="20"/>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ensuring the ECT is accessing the ECF either via the FIP, CIP or school-based programme</w:t>
      </w:r>
      <w:r>
        <w:rPr>
          <w:rStyle w:val="eop"/>
          <w:rFonts w:ascii="Calibri" w:eastAsiaTheme="majorEastAsia" w:hAnsi="Calibri" w:cs="Calibri"/>
        </w:rPr>
        <w:t> </w:t>
      </w:r>
    </w:p>
    <w:p w14:paraId="25ED1ED2" w14:textId="77777777" w:rsidR="00222C0F" w:rsidRDefault="00222C0F" w:rsidP="00222C0F">
      <w:pPr>
        <w:pStyle w:val="paragraph"/>
        <w:numPr>
          <w:ilvl w:val="0"/>
          <w:numId w:val="21"/>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recommending to the Appropriate Body (AB) whether or not an NQT has performed satisfactorily</w:t>
      </w:r>
      <w:r>
        <w:rPr>
          <w:rStyle w:val="normaltextrun"/>
          <w:rFonts w:ascii="Calibri" w:eastAsiaTheme="majorEastAsia" w:hAnsi="Calibri" w:cs="Calibri"/>
          <w:b/>
          <w:bCs/>
        </w:rPr>
        <w:t xml:space="preserve"> </w:t>
      </w:r>
      <w:r>
        <w:rPr>
          <w:rStyle w:val="normaltextrun"/>
          <w:rFonts w:ascii="Calibri" w:eastAsiaTheme="majorEastAsia" w:hAnsi="Calibri" w:cs="Calibri"/>
        </w:rPr>
        <w:t>against the Teachers’ Standards for the completion of induction (ensuring progress reports are submitted to the AB in Terms 1, 2, 4, and 5 and assessment reports at the end of Terms 3 and 6).</w:t>
      </w:r>
      <w:r>
        <w:rPr>
          <w:rStyle w:val="eop"/>
          <w:rFonts w:ascii="Calibri" w:eastAsiaTheme="majorEastAsia" w:hAnsi="Calibri" w:cs="Calibri"/>
        </w:rPr>
        <w:t> </w:t>
      </w:r>
    </w:p>
    <w:p w14:paraId="14C43715" w14:textId="77777777" w:rsidR="00222C0F" w:rsidRDefault="00222C0F" w:rsidP="00222C0F">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rPr>
        <w:t> </w:t>
      </w:r>
    </w:p>
    <w:p w14:paraId="4681DD78"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While the Principal may or may not delegate these responsibilities, many of the associated tasks will be carried out by the Induction Tutor. In addition to the statutory requirements, the Principal will:</w:t>
      </w:r>
      <w:r>
        <w:rPr>
          <w:rStyle w:val="eop"/>
          <w:rFonts w:ascii="Calibri" w:eastAsiaTheme="majorEastAsia" w:hAnsi="Calibri" w:cs="Calibri"/>
          <w:color w:val="000000"/>
        </w:rPr>
        <w:t> </w:t>
      </w:r>
    </w:p>
    <w:p w14:paraId="7F1A3150" w14:textId="77777777" w:rsidR="00222C0F" w:rsidRDefault="00222C0F" w:rsidP="00222C0F">
      <w:pPr>
        <w:pStyle w:val="paragraph"/>
        <w:numPr>
          <w:ilvl w:val="0"/>
          <w:numId w:val="22"/>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observe and give written warnings to an ECT at risk of failing to perform satisfactorily</w:t>
      </w:r>
      <w:r>
        <w:rPr>
          <w:rStyle w:val="normaltextrun"/>
          <w:rFonts w:ascii="Calibri" w:eastAsiaTheme="majorEastAsia" w:hAnsi="Calibri" w:cs="Calibri"/>
          <w:b/>
          <w:bCs/>
        </w:rPr>
        <w:t xml:space="preserve"> </w:t>
      </w:r>
      <w:r>
        <w:rPr>
          <w:rStyle w:val="normaltextrun"/>
          <w:rFonts w:ascii="Calibri" w:eastAsiaTheme="majorEastAsia" w:hAnsi="Calibri" w:cs="Calibri"/>
        </w:rPr>
        <w:t>against the Teachers’ Standards whilst informing the Appropriate Body immediately</w:t>
      </w:r>
      <w:r>
        <w:rPr>
          <w:rStyle w:val="eop"/>
          <w:rFonts w:ascii="Calibri" w:eastAsiaTheme="majorEastAsia" w:hAnsi="Calibri" w:cs="Calibri"/>
        </w:rPr>
        <w:t> </w:t>
      </w:r>
    </w:p>
    <w:p w14:paraId="2AE2B968" w14:textId="77777777" w:rsidR="00222C0F" w:rsidRDefault="00222C0F" w:rsidP="00222C0F">
      <w:pPr>
        <w:pStyle w:val="paragraph"/>
        <w:numPr>
          <w:ilvl w:val="0"/>
          <w:numId w:val="23"/>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keep the Academy Committee aware and up to date about induction arrangements and the results of formal assessment meetings</w:t>
      </w:r>
      <w:r>
        <w:rPr>
          <w:rStyle w:val="eop"/>
          <w:rFonts w:ascii="Calibri" w:eastAsiaTheme="majorEastAsia" w:hAnsi="Calibri" w:cs="Calibri"/>
        </w:rPr>
        <w:t> </w:t>
      </w:r>
    </w:p>
    <w:p w14:paraId="56EFA19F"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42183E9B"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Induction Tutor</w:t>
      </w:r>
      <w:r>
        <w:rPr>
          <w:rStyle w:val="eop"/>
          <w:rFonts w:ascii="Calibri" w:eastAsiaTheme="majorEastAsia" w:hAnsi="Calibri" w:cs="Calibri"/>
          <w:sz w:val="28"/>
          <w:szCs w:val="28"/>
        </w:rPr>
        <w:t> </w:t>
      </w:r>
    </w:p>
    <w:p w14:paraId="3726A517"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principal requirement for the ECT Induction Tutor is to be responsible for the overall management of initiating ECTs into the teaching profession and into our school’s systems and structures.  It entails not only a co-ordination role, but also keeping records of activities and monitoring the quality assurance of provision.  It embraces various tasks, such as organising access to the ECF, opportunities to participate in additional support, e.g., Professional Study Groups, providing support and guidance and the rigorous but fair assessment of ECT performance. It is the role of the Induction Tutor to ensure all Mentors are adequately trained in order to fulfil their role to a high standard, to quality assure the work of Mentors and to line manage the Mentors. The Induction Tutor also has responsibility for completing the progress reviews and assessment reports for all ECTs during induction.</w:t>
      </w:r>
      <w:r>
        <w:rPr>
          <w:rStyle w:val="eop"/>
          <w:rFonts w:ascii="Calibri" w:eastAsiaTheme="majorEastAsia" w:hAnsi="Calibri" w:cs="Calibri"/>
        </w:rPr>
        <w:t> </w:t>
      </w:r>
    </w:p>
    <w:p w14:paraId="60982298" w14:textId="77777777" w:rsidR="00222C0F" w:rsidRDefault="00222C0F" w:rsidP="00222C0F">
      <w:pPr>
        <w:pStyle w:val="paragraph"/>
        <w:spacing w:before="0" w:beforeAutospacing="0" w:after="0" w:afterAutospacing="0"/>
        <w:textAlignment w:val="baseline"/>
        <w:rPr>
          <w:rFonts w:ascii="Segoe UI" w:hAnsi="Segoe UI" w:cs="Segoe UI"/>
          <w:i/>
          <w:iCs/>
          <w:sz w:val="18"/>
          <w:szCs w:val="18"/>
        </w:rPr>
      </w:pPr>
      <w:r>
        <w:rPr>
          <w:rStyle w:val="normaltextrun"/>
          <w:rFonts w:ascii="Arial" w:eastAsiaTheme="majorEastAsia" w:hAnsi="Arial" w:cs="Arial"/>
          <w:b/>
          <w:bCs/>
          <w:sz w:val="22"/>
          <w:szCs w:val="22"/>
        </w:rPr>
        <w:t>Mentor</w:t>
      </w:r>
      <w:r>
        <w:rPr>
          <w:rStyle w:val="eop"/>
          <w:rFonts w:ascii="Arial" w:eastAsiaTheme="majorEastAsia" w:hAnsi="Arial" w:cs="Arial"/>
          <w:i/>
          <w:iCs/>
          <w:sz w:val="22"/>
          <w:szCs w:val="22"/>
        </w:rPr>
        <w:t> </w:t>
      </w:r>
    </w:p>
    <w:p w14:paraId="477406BF"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In addition to the Induction Tutor (who has the responsibility for the formal assessment of the ECTs) a Mentor is appointed to provide on-going support on a daily basis, and to work alongside the ECT as they engage with the ECF.  The Mentor holds regular meetings with the </w:t>
      </w:r>
      <w:r>
        <w:rPr>
          <w:rStyle w:val="normaltextrun"/>
          <w:rFonts w:ascii="Calibri" w:eastAsiaTheme="majorEastAsia" w:hAnsi="Calibri" w:cs="Calibri"/>
        </w:rPr>
        <w:lastRenderedPageBreak/>
        <w:t>ECT and contributes to the judgements about the ECTs performance against the Teachers’ Standards helping to provide the Induction Tutor with evidence to support the progress made by the ECT. It is also the role of the Mentor to support the ECTs engagement in the ECF and ensure this learning impacts positively upon the ECTs progress towards meeting the Teacher Standards.</w:t>
      </w:r>
      <w:r>
        <w:rPr>
          <w:rStyle w:val="eop"/>
          <w:rFonts w:ascii="Calibri" w:eastAsiaTheme="majorEastAsia" w:hAnsi="Calibri" w:cs="Calibri"/>
        </w:rPr>
        <w:t> </w:t>
      </w:r>
    </w:p>
    <w:p w14:paraId="4933ABF2"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5E584598"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8"/>
          <w:szCs w:val="28"/>
        </w:rPr>
        <w:t>Entitlement</w:t>
      </w:r>
      <w:r>
        <w:rPr>
          <w:rStyle w:val="eop"/>
          <w:rFonts w:ascii="Calibri" w:eastAsiaTheme="majorEastAsia" w:hAnsi="Calibri" w:cs="Calibri"/>
          <w:sz w:val="28"/>
          <w:szCs w:val="28"/>
        </w:rPr>
        <w:t> </w:t>
      </w:r>
    </w:p>
    <w:p w14:paraId="7B72BA85"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ECT should be proactive in their own career development. However, our induction programme ensures that new teachers are provided with support and monitoring to help them fulfil their professional duties and meet the requirements for satisfactory completion of induction.  It builds on their knowledge, skills, and achievements in relation to standards for the award for qualified teacher status (QTS).  The key aspects of the induction programme for ECTs at RBA are as follows:</w:t>
      </w:r>
      <w:r>
        <w:rPr>
          <w:rStyle w:val="eop"/>
          <w:rFonts w:ascii="Calibri" w:eastAsiaTheme="majorEastAsia" w:hAnsi="Calibri" w:cs="Calibri"/>
        </w:rPr>
        <w:t> </w:t>
      </w:r>
    </w:p>
    <w:p w14:paraId="7B6A8C81" w14:textId="77777777" w:rsidR="00222C0F" w:rsidRDefault="00222C0F" w:rsidP="00222C0F">
      <w:pPr>
        <w:pStyle w:val="paragraph"/>
        <w:numPr>
          <w:ilvl w:val="0"/>
          <w:numId w:val="24"/>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Access to an induction programme that will commence upon appointment and be formally reviewed on a termly basis.  </w:t>
      </w:r>
      <w:r>
        <w:rPr>
          <w:rStyle w:val="eop"/>
          <w:rFonts w:ascii="Calibri" w:eastAsiaTheme="majorEastAsia" w:hAnsi="Calibri" w:cs="Calibri"/>
        </w:rPr>
        <w:t> </w:t>
      </w:r>
    </w:p>
    <w:p w14:paraId="419D2B5F" w14:textId="77777777" w:rsidR="00222C0F" w:rsidRDefault="00222C0F" w:rsidP="00222C0F">
      <w:pPr>
        <w:pStyle w:val="paragraph"/>
        <w:numPr>
          <w:ilvl w:val="0"/>
          <w:numId w:val="25"/>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Structured visits made to the school, prior to taking up appointment, with time to discuss the ECF, developments needed and how they will be assisted in meeting their targets.</w:t>
      </w:r>
      <w:r>
        <w:rPr>
          <w:rStyle w:val="eop"/>
          <w:rFonts w:ascii="Calibri" w:eastAsiaTheme="majorEastAsia" w:hAnsi="Calibri" w:cs="Calibri"/>
        </w:rPr>
        <w:t> </w:t>
      </w:r>
    </w:p>
    <w:p w14:paraId="4595B4C0" w14:textId="77777777" w:rsidR="00222C0F" w:rsidRDefault="00222C0F" w:rsidP="00222C0F">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Help and guidance from an Induction Tutor who is adequately prepared for the role and will co-ordinate the induction programme.</w:t>
      </w:r>
      <w:r>
        <w:rPr>
          <w:rStyle w:val="eop"/>
          <w:rFonts w:ascii="Calibri" w:eastAsiaTheme="majorEastAsia" w:hAnsi="Calibri" w:cs="Calibri"/>
        </w:rPr>
        <w:t> </w:t>
      </w:r>
    </w:p>
    <w:p w14:paraId="1B441068" w14:textId="77777777" w:rsidR="00222C0F" w:rsidRDefault="00222C0F" w:rsidP="00222C0F">
      <w:pPr>
        <w:pStyle w:val="paragraph"/>
        <w:numPr>
          <w:ilvl w:val="0"/>
          <w:numId w:val="27"/>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Regular meetings with Mentors, Senior Managers, Subject Leaders, and other key staff where appropriate.</w:t>
      </w:r>
      <w:r>
        <w:rPr>
          <w:rStyle w:val="eop"/>
          <w:rFonts w:ascii="Calibri" w:eastAsiaTheme="majorEastAsia" w:hAnsi="Calibri" w:cs="Calibri"/>
        </w:rPr>
        <w:t> </w:t>
      </w:r>
    </w:p>
    <w:p w14:paraId="1D36136A" w14:textId="77777777" w:rsidR="00222C0F" w:rsidRDefault="00222C0F" w:rsidP="00222C0F">
      <w:pPr>
        <w:pStyle w:val="paragraph"/>
        <w:numPr>
          <w:ilvl w:val="0"/>
          <w:numId w:val="28"/>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Time and regular opportunities to meet with other ECTs and teachers who have recently completed their induction programme.</w:t>
      </w:r>
      <w:r>
        <w:rPr>
          <w:rStyle w:val="eop"/>
          <w:rFonts w:ascii="Calibri" w:eastAsiaTheme="majorEastAsia" w:hAnsi="Calibri" w:cs="Calibri"/>
        </w:rPr>
        <w:t> </w:t>
      </w:r>
    </w:p>
    <w:p w14:paraId="3E9394BC" w14:textId="77777777" w:rsidR="00222C0F" w:rsidRDefault="00222C0F" w:rsidP="00222C0F">
      <w:pPr>
        <w:pStyle w:val="paragraph"/>
        <w:numPr>
          <w:ilvl w:val="0"/>
          <w:numId w:val="29"/>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Time to observe experienced colleagues teaching both within this school and visiting other settings.</w:t>
      </w:r>
      <w:r>
        <w:rPr>
          <w:rStyle w:val="eop"/>
          <w:rFonts w:ascii="Calibri" w:eastAsiaTheme="majorEastAsia" w:hAnsi="Calibri" w:cs="Calibri"/>
        </w:rPr>
        <w:t> </w:t>
      </w:r>
    </w:p>
    <w:p w14:paraId="3EBDD839" w14:textId="77777777" w:rsidR="00222C0F" w:rsidRDefault="00222C0F" w:rsidP="00222C0F">
      <w:pPr>
        <w:pStyle w:val="paragraph"/>
        <w:numPr>
          <w:ilvl w:val="0"/>
          <w:numId w:val="30"/>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A reduction of 10% of the average teacher’s workload in Year One and 5% in Year Two.  This time is used primarily for participating in the ECF and is in addition to the statutory 10% non-contact time (PPA) already allocated to teachers.</w:t>
      </w:r>
      <w:r>
        <w:rPr>
          <w:rStyle w:val="eop"/>
          <w:rFonts w:ascii="Calibri" w:eastAsiaTheme="majorEastAsia" w:hAnsi="Calibri" w:cs="Calibri"/>
        </w:rPr>
        <w:t> </w:t>
      </w:r>
    </w:p>
    <w:p w14:paraId="141CDA14" w14:textId="77777777" w:rsidR="00222C0F" w:rsidRDefault="00222C0F" w:rsidP="00222C0F">
      <w:pPr>
        <w:pStyle w:val="paragraph"/>
        <w:numPr>
          <w:ilvl w:val="0"/>
          <w:numId w:val="31"/>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Have teaching observed by experience colleagues on a regular basis.</w:t>
      </w:r>
      <w:r>
        <w:rPr>
          <w:rStyle w:val="eop"/>
          <w:rFonts w:ascii="Calibri" w:eastAsiaTheme="majorEastAsia" w:hAnsi="Calibri" w:cs="Calibri"/>
        </w:rPr>
        <w:t> </w:t>
      </w:r>
    </w:p>
    <w:p w14:paraId="31E6DCCD" w14:textId="77777777" w:rsidR="00222C0F" w:rsidRDefault="00222C0F" w:rsidP="00222C0F">
      <w:pPr>
        <w:pStyle w:val="paragraph"/>
        <w:numPr>
          <w:ilvl w:val="0"/>
          <w:numId w:val="32"/>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To receive prompt written as well as oral feedback on the teaching observed and to receive advice with regards to development and target setting as appropriate.</w:t>
      </w:r>
      <w:r>
        <w:rPr>
          <w:rStyle w:val="eop"/>
          <w:rFonts w:ascii="Calibri" w:eastAsiaTheme="majorEastAsia" w:hAnsi="Calibri" w:cs="Calibri"/>
        </w:rPr>
        <w:t> </w:t>
      </w:r>
    </w:p>
    <w:p w14:paraId="00B16C68" w14:textId="77777777" w:rsidR="00222C0F" w:rsidRDefault="00222C0F" w:rsidP="00222C0F">
      <w:pPr>
        <w:pStyle w:val="paragraph"/>
        <w:numPr>
          <w:ilvl w:val="0"/>
          <w:numId w:val="33"/>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Opportunities for further professional development based on agreed targets.</w:t>
      </w:r>
      <w:r>
        <w:rPr>
          <w:rStyle w:val="eop"/>
          <w:rFonts w:ascii="Calibri" w:eastAsiaTheme="majorEastAsia" w:hAnsi="Calibri" w:cs="Calibri"/>
        </w:rPr>
        <w:t> </w:t>
      </w:r>
    </w:p>
    <w:p w14:paraId="319893A5"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4564EDD2"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4C045E34"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Lesson Observation, and Target Setting</w:t>
      </w:r>
      <w:r>
        <w:rPr>
          <w:rStyle w:val="eop"/>
          <w:rFonts w:ascii="Calibri" w:eastAsiaTheme="majorEastAsia" w:hAnsi="Calibri" w:cs="Calibri"/>
          <w:sz w:val="28"/>
          <w:szCs w:val="28"/>
        </w:rPr>
        <w:t> </w:t>
      </w:r>
    </w:p>
    <w:p w14:paraId="5E9EC901"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These will be followed and completed in accordance with the DfE’s guidelines on ECT induction as also outlined in the ECT Induction Handbook provided by the LA acting as the Appropriate Body. In summary each ECT is observed formally once each half term. Targets are reviewed during each half term at the weekly meetings. In addition, targets and progress towards meeting the Teacher Standards is reviewed formally at the end of each term at a review meeting. The review meeting is where the end of term progress report or formal assessment report is shared with the ECT and the ECT is invited to add their comments to the report before it is submitted to the Appropriate Body (AB). Those in attendance at the end of term review meetings include the ECT, Mentor, and Induction Tutor. The Principal may also attend these meetings. </w:t>
      </w:r>
      <w:r>
        <w:rPr>
          <w:rStyle w:val="eop"/>
          <w:rFonts w:ascii="Calibri" w:eastAsiaTheme="majorEastAsia" w:hAnsi="Calibri" w:cs="Calibri"/>
        </w:rPr>
        <w:t> </w:t>
      </w:r>
    </w:p>
    <w:p w14:paraId="0C921C95"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lastRenderedPageBreak/>
        <w:t> </w:t>
      </w:r>
    </w:p>
    <w:p w14:paraId="5C5F4536"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8"/>
          <w:szCs w:val="28"/>
        </w:rPr>
        <w:t>Assessment &amp; Quality Assurance</w:t>
      </w:r>
      <w:r>
        <w:rPr>
          <w:rStyle w:val="eop"/>
          <w:rFonts w:ascii="Calibri" w:eastAsiaTheme="majorEastAsia" w:hAnsi="Calibri" w:cs="Calibri"/>
          <w:sz w:val="28"/>
          <w:szCs w:val="28"/>
        </w:rPr>
        <w:t> </w:t>
      </w:r>
    </w:p>
    <w:p w14:paraId="4DEF1497"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assessment of ECTs will be rigorous but also objective:</w:t>
      </w:r>
      <w:r>
        <w:rPr>
          <w:rStyle w:val="eop"/>
          <w:rFonts w:ascii="Calibri" w:eastAsiaTheme="majorEastAsia" w:hAnsi="Calibri" w:cs="Calibri"/>
        </w:rPr>
        <w:t> </w:t>
      </w:r>
    </w:p>
    <w:p w14:paraId="67F5B4E0" w14:textId="77777777" w:rsidR="00222C0F" w:rsidRDefault="00222C0F" w:rsidP="00222C0F">
      <w:pPr>
        <w:pStyle w:val="paragraph"/>
        <w:numPr>
          <w:ilvl w:val="0"/>
          <w:numId w:val="34"/>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The criteria used for formal assessments will be shared and agreed in advance.</w:t>
      </w:r>
      <w:r>
        <w:rPr>
          <w:rStyle w:val="eop"/>
          <w:rFonts w:ascii="Calibri" w:eastAsiaTheme="majorEastAsia" w:hAnsi="Calibri" w:cs="Calibri"/>
        </w:rPr>
        <w:t> </w:t>
      </w:r>
    </w:p>
    <w:p w14:paraId="5828F547" w14:textId="77777777" w:rsidR="00222C0F" w:rsidRDefault="00222C0F" w:rsidP="00222C0F">
      <w:pPr>
        <w:pStyle w:val="paragraph"/>
        <w:numPr>
          <w:ilvl w:val="0"/>
          <w:numId w:val="35"/>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Formative assessment (e.g., lesson observation, target setting, learner progress, book scrutiny) and summative assessment (termly induction reports) will be used.</w:t>
      </w:r>
      <w:r>
        <w:rPr>
          <w:rStyle w:val="eop"/>
          <w:rFonts w:ascii="Calibri" w:eastAsiaTheme="majorEastAsia" w:hAnsi="Calibri" w:cs="Calibri"/>
        </w:rPr>
        <w:t> </w:t>
      </w:r>
    </w:p>
    <w:p w14:paraId="365680F5" w14:textId="77777777" w:rsidR="00222C0F" w:rsidRDefault="00222C0F" w:rsidP="00222C0F">
      <w:pPr>
        <w:pStyle w:val="paragraph"/>
        <w:numPr>
          <w:ilvl w:val="0"/>
          <w:numId w:val="36"/>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Responsibility for assessment will involve all teachers who have a part in the ECT’s development, in order to gain a reliable overall view.</w:t>
      </w:r>
      <w:r>
        <w:rPr>
          <w:rStyle w:val="eop"/>
          <w:rFonts w:ascii="Calibri" w:eastAsiaTheme="majorEastAsia" w:hAnsi="Calibri" w:cs="Calibri"/>
        </w:rPr>
        <w:t> </w:t>
      </w:r>
    </w:p>
    <w:p w14:paraId="2F9DFA84" w14:textId="77777777" w:rsidR="00222C0F" w:rsidRDefault="00222C0F" w:rsidP="00222C0F">
      <w:pPr>
        <w:pStyle w:val="paragraph"/>
        <w:numPr>
          <w:ilvl w:val="0"/>
          <w:numId w:val="37"/>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Opportunities will be created for ECTs to gain experience and expertise in self-evaluation.</w:t>
      </w:r>
      <w:r>
        <w:rPr>
          <w:rStyle w:val="eop"/>
          <w:rFonts w:ascii="Calibri" w:eastAsiaTheme="majorEastAsia" w:hAnsi="Calibri" w:cs="Calibri"/>
        </w:rPr>
        <w:t> </w:t>
      </w:r>
    </w:p>
    <w:p w14:paraId="5AA066AE" w14:textId="77777777" w:rsidR="00222C0F" w:rsidRDefault="00222C0F" w:rsidP="00222C0F">
      <w:pPr>
        <w:pStyle w:val="paragraph"/>
        <w:numPr>
          <w:ilvl w:val="0"/>
          <w:numId w:val="38"/>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The Induction Tutor will ensure that assessment procedures are consistently applied. </w:t>
      </w:r>
      <w:r>
        <w:rPr>
          <w:rStyle w:val="eop"/>
          <w:rFonts w:ascii="Calibri" w:eastAsiaTheme="majorEastAsia" w:hAnsi="Calibri" w:cs="Calibri"/>
        </w:rPr>
        <w:t> </w:t>
      </w:r>
    </w:p>
    <w:p w14:paraId="568FFB0D" w14:textId="77777777" w:rsidR="00222C0F" w:rsidRDefault="00222C0F" w:rsidP="00222C0F">
      <w:pPr>
        <w:pStyle w:val="paragraph"/>
        <w:numPr>
          <w:ilvl w:val="0"/>
          <w:numId w:val="39"/>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Copies of any records will be passed to the ECT concerned, including a copy of each of the end of term progress / assessment reports. </w:t>
      </w:r>
      <w:r>
        <w:rPr>
          <w:rStyle w:val="eop"/>
          <w:rFonts w:ascii="Calibri" w:eastAsiaTheme="majorEastAsia" w:hAnsi="Calibri" w:cs="Calibri"/>
        </w:rPr>
        <w:t> </w:t>
      </w:r>
    </w:p>
    <w:p w14:paraId="6C9EF364" w14:textId="77777777" w:rsidR="00222C0F" w:rsidRDefault="00222C0F" w:rsidP="00222C0F">
      <w:pPr>
        <w:pStyle w:val="paragraph"/>
        <w:numPr>
          <w:ilvl w:val="0"/>
          <w:numId w:val="40"/>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Assessment reports at the end of Term 3 and 6 will give details of:</w:t>
      </w:r>
      <w:r>
        <w:rPr>
          <w:rStyle w:val="eop"/>
          <w:rFonts w:ascii="Calibri" w:eastAsiaTheme="majorEastAsia" w:hAnsi="Calibri" w:cs="Calibri"/>
        </w:rPr>
        <w:t> </w:t>
      </w:r>
    </w:p>
    <w:p w14:paraId="28EC4315" w14:textId="77777777" w:rsidR="00222C0F" w:rsidRDefault="00222C0F" w:rsidP="00222C0F">
      <w:pPr>
        <w:pStyle w:val="paragraph"/>
        <w:numPr>
          <w:ilvl w:val="0"/>
          <w:numId w:val="41"/>
        </w:numPr>
        <w:spacing w:before="0" w:beforeAutospacing="0" w:after="0" w:afterAutospacing="0"/>
        <w:ind w:left="1800" w:firstLine="0"/>
        <w:jc w:val="both"/>
        <w:textAlignment w:val="baseline"/>
        <w:rPr>
          <w:rFonts w:ascii="Calibri" w:hAnsi="Calibri" w:cs="Calibri"/>
        </w:rPr>
      </w:pPr>
      <w:r>
        <w:rPr>
          <w:rStyle w:val="normaltextrun"/>
          <w:rFonts w:ascii="Calibri" w:eastAsiaTheme="majorEastAsia" w:hAnsi="Calibri" w:cs="Calibri"/>
        </w:rPr>
        <w:t>Areas of strength (linked to the Teacher Standards)</w:t>
      </w:r>
      <w:r>
        <w:rPr>
          <w:rStyle w:val="eop"/>
          <w:rFonts w:ascii="Calibri" w:eastAsiaTheme="majorEastAsia" w:hAnsi="Calibri" w:cs="Calibri"/>
        </w:rPr>
        <w:t> </w:t>
      </w:r>
    </w:p>
    <w:p w14:paraId="0AD64AEF" w14:textId="77777777" w:rsidR="00222C0F" w:rsidRDefault="00222C0F" w:rsidP="00222C0F">
      <w:pPr>
        <w:pStyle w:val="paragraph"/>
        <w:numPr>
          <w:ilvl w:val="0"/>
          <w:numId w:val="42"/>
        </w:numPr>
        <w:spacing w:before="0" w:beforeAutospacing="0" w:after="0" w:afterAutospacing="0"/>
        <w:ind w:left="1800" w:firstLine="0"/>
        <w:jc w:val="both"/>
        <w:textAlignment w:val="baseline"/>
        <w:rPr>
          <w:rFonts w:ascii="Calibri" w:hAnsi="Calibri" w:cs="Calibri"/>
        </w:rPr>
      </w:pPr>
      <w:r>
        <w:rPr>
          <w:rStyle w:val="normaltextrun"/>
          <w:rFonts w:ascii="Calibri" w:eastAsiaTheme="majorEastAsia" w:hAnsi="Calibri" w:cs="Calibri"/>
        </w:rPr>
        <w:t>Areas requiring development (linked to the Teacher Standards)</w:t>
      </w:r>
      <w:r>
        <w:rPr>
          <w:rStyle w:val="eop"/>
          <w:rFonts w:ascii="Calibri" w:eastAsiaTheme="majorEastAsia" w:hAnsi="Calibri" w:cs="Calibri"/>
        </w:rPr>
        <w:t> </w:t>
      </w:r>
    </w:p>
    <w:p w14:paraId="5A055F2E" w14:textId="77777777" w:rsidR="00222C0F" w:rsidRDefault="00222C0F" w:rsidP="00222C0F">
      <w:pPr>
        <w:pStyle w:val="paragraph"/>
        <w:numPr>
          <w:ilvl w:val="0"/>
          <w:numId w:val="43"/>
        </w:numPr>
        <w:spacing w:before="0" w:beforeAutospacing="0" w:after="0" w:afterAutospacing="0"/>
        <w:ind w:left="1800" w:firstLine="0"/>
        <w:jc w:val="both"/>
        <w:textAlignment w:val="baseline"/>
        <w:rPr>
          <w:rFonts w:ascii="Calibri" w:hAnsi="Calibri" w:cs="Calibri"/>
        </w:rPr>
      </w:pPr>
      <w:r>
        <w:rPr>
          <w:rStyle w:val="normaltextrun"/>
          <w:rFonts w:ascii="Calibri" w:eastAsiaTheme="majorEastAsia" w:hAnsi="Calibri" w:cs="Calibri"/>
        </w:rPr>
        <w:t>Evidence used to inform judgements</w:t>
      </w:r>
      <w:r>
        <w:rPr>
          <w:rStyle w:val="eop"/>
          <w:rFonts w:ascii="Calibri" w:eastAsiaTheme="majorEastAsia" w:hAnsi="Calibri" w:cs="Calibri"/>
        </w:rPr>
        <w:t> </w:t>
      </w:r>
    </w:p>
    <w:p w14:paraId="1B2155EF" w14:textId="77777777" w:rsidR="00222C0F" w:rsidRDefault="00222C0F" w:rsidP="00222C0F">
      <w:pPr>
        <w:pStyle w:val="paragraph"/>
        <w:numPr>
          <w:ilvl w:val="0"/>
          <w:numId w:val="44"/>
        </w:numPr>
        <w:spacing w:before="0" w:beforeAutospacing="0" w:after="0" w:afterAutospacing="0"/>
        <w:ind w:left="1800" w:firstLine="0"/>
        <w:jc w:val="both"/>
        <w:textAlignment w:val="baseline"/>
        <w:rPr>
          <w:rFonts w:ascii="Calibri" w:hAnsi="Calibri" w:cs="Calibri"/>
        </w:rPr>
      </w:pPr>
      <w:r>
        <w:rPr>
          <w:rStyle w:val="normaltextrun"/>
          <w:rFonts w:ascii="Calibri" w:eastAsiaTheme="majorEastAsia" w:hAnsi="Calibri" w:cs="Calibri"/>
        </w:rPr>
        <w:t>Targets for the next period of induction (linked to the Teacher Standards)</w:t>
      </w:r>
      <w:r>
        <w:rPr>
          <w:rStyle w:val="eop"/>
          <w:rFonts w:ascii="Calibri" w:eastAsiaTheme="majorEastAsia" w:hAnsi="Calibri" w:cs="Calibri"/>
        </w:rPr>
        <w:t> </w:t>
      </w:r>
    </w:p>
    <w:p w14:paraId="68EA6CB7"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Engagement in the ECF will be reviewed each term. However, this is a programme of CPD to support effective progress towards meeting the Teacher Standards. The ECF is not and will not be used as an assessment tool.</w:t>
      </w:r>
      <w:r>
        <w:rPr>
          <w:rStyle w:val="eop"/>
          <w:rFonts w:ascii="Calibri" w:eastAsiaTheme="majorEastAsia" w:hAnsi="Calibri" w:cs="Calibri"/>
        </w:rPr>
        <w:t> </w:t>
      </w:r>
    </w:p>
    <w:p w14:paraId="04599FD8"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7D55E281"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8"/>
          <w:szCs w:val="28"/>
        </w:rPr>
        <w:t>At Risk Procedures</w:t>
      </w:r>
      <w:r>
        <w:rPr>
          <w:rStyle w:val="eop"/>
          <w:rFonts w:ascii="Calibri" w:eastAsiaTheme="majorEastAsia" w:hAnsi="Calibri" w:cs="Calibri"/>
          <w:sz w:val="28"/>
          <w:szCs w:val="28"/>
        </w:rPr>
        <w:t> </w:t>
      </w:r>
    </w:p>
    <w:p w14:paraId="62DF622D"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If any ECT encounters difficulties in their performance against the Teachers’ Standards, the following procedures will be put into place:</w:t>
      </w:r>
      <w:r>
        <w:rPr>
          <w:rStyle w:val="eop"/>
          <w:rFonts w:ascii="Calibri" w:eastAsiaTheme="majorEastAsia" w:hAnsi="Calibri" w:cs="Calibri"/>
        </w:rPr>
        <w:t> </w:t>
      </w:r>
    </w:p>
    <w:p w14:paraId="2EC6472B" w14:textId="77777777" w:rsidR="00222C0F" w:rsidRDefault="00222C0F" w:rsidP="00222C0F">
      <w:pPr>
        <w:pStyle w:val="paragraph"/>
        <w:numPr>
          <w:ilvl w:val="0"/>
          <w:numId w:val="45"/>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An expectation is established that the support provided will enable any weaknesses to be addressed.</w:t>
      </w:r>
      <w:r>
        <w:rPr>
          <w:rStyle w:val="eop"/>
          <w:rFonts w:ascii="Calibri" w:eastAsiaTheme="majorEastAsia" w:hAnsi="Calibri" w:cs="Calibri"/>
        </w:rPr>
        <w:t> </w:t>
      </w:r>
    </w:p>
    <w:p w14:paraId="07A508E7" w14:textId="77777777" w:rsidR="00222C0F" w:rsidRDefault="00222C0F" w:rsidP="00222C0F">
      <w:pPr>
        <w:pStyle w:val="paragraph"/>
        <w:numPr>
          <w:ilvl w:val="0"/>
          <w:numId w:val="46"/>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Recorded diagnosis of the exact nature of the problem, and advice given on how to redress the problem.</w:t>
      </w:r>
      <w:r>
        <w:rPr>
          <w:rStyle w:val="eop"/>
          <w:rFonts w:ascii="Calibri" w:eastAsiaTheme="majorEastAsia" w:hAnsi="Calibri" w:cs="Calibri"/>
        </w:rPr>
        <w:t> </w:t>
      </w:r>
    </w:p>
    <w:p w14:paraId="615335F2" w14:textId="77777777" w:rsidR="00222C0F" w:rsidRDefault="00222C0F" w:rsidP="00222C0F">
      <w:pPr>
        <w:pStyle w:val="paragraph"/>
        <w:numPr>
          <w:ilvl w:val="0"/>
          <w:numId w:val="47"/>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Agreed, attainable, targets for action with specific and practical steps outlines for securing an improvement in practice.</w:t>
      </w:r>
      <w:r>
        <w:rPr>
          <w:rStyle w:val="eop"/>
          <w:rFonts w:ascii="Calibri" w:eastAsiaTheme="majorEastAsia" w:hAnsi="Calibri" w:cs="Calibri"/>
        </w:rPr>
        <w:t> </w:t>
      </w:r>
    </w:p>
    <w:p w14:paraId="50496F50" w14:textId="77777777" w:rsidR="00222C0F" w:rsidRDefault="00222C0F" w:rsidP="00222C0F">
      <w:pPr>
        <w:pStyle w:val="paragraph"/>
        <w:numPr>
          <w:ilvl w:val="0"/>
          <w:numId w:val="48"/>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Experienced colleagues will model aspects of good practice so that the ECT can focus attention on particular areas of teaching through observation. </w:t>
      </w:r>
      <w:r>
        <w:rPr>
          <w:rStyle w:val="eop"/>
          <w:rFonts w:ascii="Calibri" w:eastAsiaTheme="majorEastAsia" w:hAnsi="Calibri" w:cs="Calibri"/>
        </w:rPr>
        <w:t> </w:t>
      </w:r>
    </w:p>
    <w:p w14:paraId="2C402735" w14:textId="77777777" w:rsidR="00222C0F" w:rsidRDefault="00222C0F" w:rsidP="00222C0F">
      <w:pPr>
        <w:pStyle w:val="paragraph"/>
        <w:numPr>
          <w:ilvl w:val="0"/>
          <w:numId w:val="49"/>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rPr>
        <w:t>Early warning of the risk of failure will be given and the school’s concerns communicated to the Appropriate Body without delay (the school will not wait until the end of term when the assessment report is submitted to the LA).</w:t>
      </w:r>
      <w:r>
        <w:rPr>
          <w:rStyle w:val="eop"/>
          <w:rFonts w:ascii="Calibri" w:eastAsiaTheme="majorEastAsia" w:hAnsi="Calibri" w:cs="Calibri"/>
        </w:rPr>
        <w:t> </w:t>
      </w:r>
    </w:p>
    <w:p w14:paraId="342CD93F" w14:textId="77777777" w:rsidR="00222C0F" w:rsidRDefault="00222C0F" w:rsidP="00222C0F">
      <w:pPr>
        <w:pStyle w:val="paragraph"/>
        <w:numPr>
          <w:ilvl w:val="0"/>
          <w:numId w:val="50"/>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Where an ECT has continuing difficulties further support, advice and direction will be given.  Areas of concern will be re-defined and clarified and the necessary improvements required clearly set out.</w:t>
      </w:r>
      <w:r>
        <w:rPr>
          <w:rStyle w:val="eop"/>
          <w:rFonts w:ascii="Arial" w:eastAsiaTheme="majorEastAsia" w:hAnsi="Arial" w:cs="Arial"/>
          <w:sz w:val="22"/>
          <w:szCs w:val="22"/>
        </w:rPr>
        <w:t> </w:t>
      </w:r>
    </w:p>
    <w:p w14:paraId="37971A2F" w14:textId="77777777" w:rsidR="00222C0F" w:rsidRDefault="00222C0F" w:rsidP="00222C0F">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sz w:val="22"/>
          <w:szCs w:val="22"/>
        </w:rPr>
        <w:t> </w:t>
      </w:r>
    </w:p>
    <w:p w14:paraId="3AD43DD0"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Where necessary, the Principal and LA Appropriate Body ECT Induction Manager will support the Induction Leader and ECT. Such support will take the format of a review of the support plan, observing the ECT in the classroom and planning an appropriate programme to ensure satisfactory completion of induction and that all steps have been taken to improve the </w:t>
      </w:r>
      <w:r>
        <w:rPr>
          <w:rStyle w:val="normaltextrun"/>
          <w:rFonts w:ascii="Calibri" w:eastAsiaTheme="majorEastAsia" w:hAnsi="Calibri" w:cs="Calibri"/>
        </w:rPr>
        <w:lastRenderedPageBreak/>
        <w:t>situation.  The ECT must be made aware of any concerns, at all stages, throughout the induction process.</w:t>
      </w:r>
      <w:r>
        <w:rPr>
          <w:rStyle w:val="eop"/>
          <w:rFonts w:ascii="Calibri" w:eastAsiaTheme="majorEastAsia" w:hAnsi="Calibri" w:cs="Calibri"/>
        </w:rPr>
        <w:t> </w:t>
      </w:r>
    </w:p>
    <w:p w14:paraId="7B542C00"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6728FB3A"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2A3ACA65"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Addressing ECT Concerns</w:t>
      </w:r>
      <w:r>
        <w:rPr>
          <w:rStyle w:val="eop"/>
          <w:rFonts w:ascii="Calibri" w:eastAsiaTheme="majorEastAsia" w:hAnsi="Calibri" w:cs="Calibri"/>
          <w:sz w:val="28"/>
          <w:szCs w:val="28"/>
        </w:rPr>
        <w:t> </w:t>
      </w:r>
    </w:p>
    <w:p w14:paraId="2C7354DE"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F8B89C2"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If an ECT has any concerns about the induction, mentoring and support programme, these should be raised within the school in the first instance.  Where the school does not resolve them the ECT should raise concerns with the named Appropriate Body contact.  Details are included in The ECT Induction Handbook given to all schools by the AB.</w:t>
      </w:r>
      <w:r>
        <w:rPr>
          <w:rStyle w:val="eop"/>
          <w:rFonts w:ascii="Calibri" w:eastAsiaTheme="majorEastAsia" w:hAnsi="Calibri" w:cs="Calibri"/>
        </w:rPr>
        <w:t> </w:t>
      </w:r>
    </w:p>
    <w:p w14:paraId="0730D1C3"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76EBEA19"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5380AD21"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This policy is based on and follows the guidance and statutory requirements set out in the </w:t>
      </w:r>
      <w:r>
        <w:rPr>
          <w:rStyle w:val="normaltextrun"/>
          <w:rFonts w:ascii="Calibri" w:eastAsiaTheme="majorEastAsia" w:hAnsi="Calibri" w:cs="Calibri"/>
          <w:color w:val="000000"/>
        </w:rPr>
        <w:t>DfE’s statutory guidance for induction and Sections 135A, 135B and 141C(1)(b), of the Education Act 2002 and The Education (Induction Arrangements for School Teachers) (England) Regulations 2012.</w:t>
      </w:r>
      <w:r>
        <w:rPr>
          <w:rStyle w:val="eop"/>
          <w:rFonts w:ascii="Calibri" w:eastAsiaTheme="majorEastAsia" w:hAnsi="Calibri" w:cs="Calibri"/>
          <w:color w:val="000000"/>
        </w:rPr>
        <w:t> </w:t>
      </w:r>
    </w:p>
    <w:p w14:paraId="0A7EA222"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hyperlink r:id="rId13" w:tgtFrame="_blank" w:history="1">
        <w:r>
          <w:rPr>
            <w:rStyle w:val="normaltextrun"/>
            <w:rFonts w:ascii="Calibri" w:eastAsiaTheme="majorEastAsia" w:hAnsi="Calibri" w:cs="Calibri"/>
            <w:color w:val="0000FF"/>
            <w:u w:val="single"/>
          </w:rPr>
          <w:t>https://assets.publishing.service.gov.uk/government/uploads/system/uploads/attachment_data/file/972316/Statutory_Induction_Guidance_2021_final__002_____1___1_.pdf</w:t>
        </w:r>
      </w:hyperlink>
      <w:r>
        <w:rPr>
          <w:rStyle w:val="normaltextrun"/>
          <w:rFonts w:ascii="Calibri" w:eastAsiaTheme="majorEastAsia" w:hAnsi="Calibri" w:cs="Calibri"/>
        </w:rPr>
        <w:t> </w:t>
      </w:r>
      <w:r>
        <w:rPr>
          <w:rStyle w:val="eop"/>
          <w:rFonts w:ascii="Calibri" w:eastAsiaTheme="majorEastAsia" w:hAnsi="Calibri" w:cs="Calibri"/>
        </w:rPr>
        <w:t> </w:t>
      </w:r>
    </w:p>
    <w:p w14:paraId="371EAF58" w14:textId="77777777" w:rsidR="00222C0F" w:rsidRDefault="00222C0F" w:rsidP="00222C0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2F399744"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8"/>
          <w:szCs w:val="28"/>
        </w:rPr>
        <w:t> </w:t>
      </w:r>
    </w:p>
    <w:p w14:paraId="4F6CCC71" w14:textId="77777777" w:rsidR="00222C0F" w:rsidRDefault="00222C0F" w:rsidP="00222C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46D640B7" w14:textId="77777777" w:rsidR="00222C0F" w:rsidRPr="00D47FB7" w:rsidRDefault="00222C0F" w:rsidP="00B8611A"/>
    <w:sectPr w:rsidR="00222C0F" w:rsidRPr="00D47F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822"/>
    <w:multiLevelType w:val="multilevel"/>
    <w:tmpl w:val="152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F6320"/>
    <w:multiLevelType w:val="multilevel"/>
    <w:tmpl w:val="FA3EB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26697D"/>
    <w:multiLevelType w:val="multilevel"/>
    <w:tmpl w:val="48F8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F51F9"/>
    <w:multiLevelType w:val="multilevel"/>
    <w:tmpl w:val="EDA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21F6E"/>
    <w:multiLevelType w:val="multilevel"/>
    <w:tmpl w:val="DB6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B477F"/>
    <w:multiLevelType w:val="multilevel"/>
    <w:tmpl w:val="4D68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34D8C"/>
    <w:multiLevelType w:val="multilevel"/>
    <w:tmpl w:val="61EE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B00DB"/>
    <w:multiLevelType w:val="hybridMultilevel"/>
    <w:tmpl w:val="CE3E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D4537"/>
    <w:multiLevelType w:val="multilevel"/>
    <w:tmpl w:val="121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47114B"/>
    <w:multiLevelType w:val="multilevel"/>
    <w:tmpl w:val="301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9263E"/>
    <w:multiLevelType w:val="multilevel"/>
    <w:tmpl w:val="8C0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73BD2"/>
    <w:multiLevelType w:val="multilevel"/>
    <w:tmpl w:val="706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41563"/>
    <w:multiLevelType w:val="multilevel"/>
    <w:tmpl w:val="653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96DF9"/>
    <w:multiLevelType w:val="multilevel"/>
    <w:tmpl w:val="7DC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651542"/>
    <w:multiLevelType w:val="multilevel"/>
    <w:tmpl w:val="69A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87D5A"/>
    <w:multiLevelType w:val="multilevel"/>
    <w:tmpl w:val="7D1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F409D0"/>
    <w:multiLevelType w:val="multilevel"/>
    <w:tmpl w:val="439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2679C9"/>
    <w:multiLevelType w:val="multilevel"/>
    <w:tmpl w:val="F1F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86402"/>
    <w:multiLevelType w:val="multilevel"/>
    <w:tmpl w:val="E8EA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234307"/>
    <w:multiLevelType w:val="multilevel"/>
    <w:tmpl w:val="717E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783730"/>
    <w:multiLevelType w:val="multilevel"/>
    <w:tmpl w:val="E4E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2F571C"/>
    <w:multiLevelType w:val="multilevel"/>
    <w:tmpl w:val="2202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580356"/>
    <w:multiLevelType w:val="multilevel"/>
    <w:tmpl w:val="4E4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77F23"/>
    <w:multiLevelType w:val="multilevel"/>
    <w:tmpl w:val="6C40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0B177F"/>
    <w:multiLevelType w:val="multilevel"/>
    <w:tmpl w:val="2BF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477DA1"/>
    <w:multiLevelType w:val="multilevel"/>
    <w:tmpl w:val="C896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BA5D1A"/>
    <w:multiLevelType w:val="multilevel"/>
    <w:tmpl w:val="7646C1C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4367C31"/>
    <w:multiLevelType w:val="multilevel"/>
    <w:tmpl w:val="5D22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A158B1"/>
    <w:multiLevelType w:val="multilevel"/>
    <w:tmpl w:val="9E6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B97A56"/>
    <w:multiLevelType w:val="multilevel"/>
    <w:tmpl w:val="2F4CD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9200C"/>
    <w:multiLevelType w:val="multilevel"/>
    <w:tmpl w:val="3822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BB653A"/>
    <w:multiLevelType w:val="multilevel"/>
    <w:tmpl w:val="838E7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05C23B5"/>
    <w:multiLevelType w:val="multilevel"/>
    <w:tmpl w:val="0912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6914DE"/>
    <w:multiLevelType w:val="multilevel"/>
    <w:tmpl w:val="6F3E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7A69A2"/>
    <w:multiLevelType w:val="multilevel"/>
    <w:tmpl w:val="8E74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172FF6"/>
    <w:multiLevelType w:val="multilevel"/>
    <w:tmpl w:val="4FBA2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6D44A2C"/>
    <w:multiLevelType w:val="multilevel"/>
    <w:tmpl w:val="98F67DB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BDD7D58"/>
    <w:multiLevelType w:val="multilevel"/>
    <w:tmpl w:val="F41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196B54"/>
    <w:multiLevelType w:val="multilevel"/>
    <w:tmpl w:val="AA2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FA035D"/>
    <w:multiLevelType w:val="multilevel"/>
    <w:tmpl w:val="56B61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8B04C8"/>
    <w:multiLevelType w:val="multilevel"/>
    <w:tmpl w:val="39A0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C828F6"/>
    <w:multiLevelType w:val="hybridMultilevel"/>
    <w:tmpl w:val="1D7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04C27"/>
    <w:multiLevelType w:val="multilevel"/>
    <w:tmpl w:val="7646C1C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9675C67"/>
    <w:multiLevelType w:val="multilevel"/>
    <w:tmpl w:val="4990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68626D"/>
    <w:multiLevelType w:val="multilevel"/>
    <w:tmpl w:val="6DB2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6E3018"/>
    <w:multiLevelType w:val="multilevel"/>
    <w:tmpl w:val="A9F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536DFD"/>
    <w:multiLevelType w:val="multilevel"/>
    <w:tmpl w:val="983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BB1360"/>
    <w:multiLevelType w:val="multilevel"/>
    <w:tmpl w:val="EF1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D8E766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166AEE"/>
    <w:multiLevelType w:val="multilevel"/>
    <w:tmpl w:val="0A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077957">
    <w:abstractNumId w:val="7"/>
  </w:num>
  <w:num w:numId="2" w16cid:durableId="53628651">
    <w:abstractNumId w:val="41"/>
  </w:num>
  <w:num w:numId="3" w16cid:durableId="1803841632">
    <w:abstractNumId w:val="48"/>
  </w:num>
  <w:num w:numId="4" w16cid:durableId="172573254">
    <w:abstractNumId w:val="36"/>
  </w:num>
  <w:num w:numId="5" w16cid:durableId="774985808">
    <w:abstractNumId w:val="42"/>
  </w:num>
  <w:num w:numId="6" w16cid:durableId="1933125105">
    <w:abstractNumId w:val="26"/>
  </w:num>
  <w:num w:numId="7" w16cid:durableId="48000159">
    <w:abstractNumId w:val="25"/>
  </w:num>
  <w:num w:numId="8" w16cid:durableId="1091703183">
    <w:abstractNumId w:val="23"/>
  </w:num>
  <w:num w:numId="9" w16cid:durableId="1180850108">
    <w:abstractNumId w:val="3"/>
  </w:num>
  <w:num w:numId="10" w16cid:durableId="1481263858">
    <w:abstractNumId w:val="8"/>
  </w:num>
  <w:num w:numId="11" w16cid:durableId="1067993771">
    <w:abstractNumId w:val="19"/>
  </w:num>
  <w:num w:numId="12" w16cid:durableId="325549870">
    <w:abstractNumId w:val="13"/>
  </w:num>
  <w:num w:numId="13" w16cid:durableId="27924064">
    <w:abstractNumId w:val="21"/>
  </w:num>
  <w:num w:numId="14" w16cid:durableId="1412384357">
    <w:abstractNumId w:val="45"/>
  </w:num>
  <w:num w:numId="15" w16cid:durableId="721441116">
    <w:abstractNumId w:val="30"/>
  </w:num>
  <w:num w:numId="16" w16cid:durableId="2035377878">
    <w:abstractNumId w:val="46"/>
  </w:num>
  <w:num w:numId="17" w16cid:durableId="51467745">
    <w:abstractNumId w:val="37"/>
  </w:num>
  <w:num w:numId="18" w16cid:durableId="1642348340">
    <w:abstractNumId w:val="40"/>
  </w:num>
  <w:num w:numId="19" w16cid:durableId="1725913238">
    <w:abstractNumId w:val="28"/>
  </w:num>
  <w:num w:numId="20" w16cid:durableId="260532885">
    <w:abstractNumId w:val="11"/>
  </w:num>
  <w:num w:numId="21" w16cid:durableId="2031253368">
    <w:abstractNumId w:val="12"/>
  </w:num>
  <w:num w:numId="22" w16cid:durableId="1978951715">
    <w:abstractNumId w:val="29"/>
  </w:num>
  <w:num w:numId="23" w16cid:durableId="212892545">
    <w:abstractNumId w:val="39"/>
  </w:num>
  <w:num w:numId="24" w16cid:durableId="2129548081">
    <w:abstractNumId w:val="27"/>
  </w:num>
  <w:num w:numId="25" w16cid:durableId="713963454">
    <w:abstractNumId w:val="10"/>
  </w:num>
  <w:num w:numId="26" w16cid:durableId="1358854583">
    <w:abstractNumId w:val="33"/>
  </w:num>
  <w:num w:numId="27" w16cid:durableId="314796072">
    <w:abstractNumId w:val="34"/>
  </w:num>
  <w:num w:numId="28" w16cid:durableId="1149204339">
    <w:abstractNumId w:val="20"/>
  </w:num>
  <w:num w:numId="29" w16cid:durableId="985814088">
    <w:abstractNumId w:val="16"/>
  </w:num>
  <w:num w:numId="30" w16cid:durableId="1056048429">
    <w:abstractNumId w:val="24"/>
  </w:num>
  <w:num w:numId="31" w16cid:durableId="1630476056">
    <w:abstractNumId w:val="18"/>
  </w:num>
  <w:num w:numId="32" w16cid:durableId="975833831">
    <w:abstractNumId w:val="0"/>
  </w:num>
  <w:num w:numId="33" w16cid:durableId="12804530">
    <w:abstractNumId w:val="15"/>
  </w:num>
  <w:num w:numId="34" w16cid:durableId="1242056481">
    <w:abstractNumId w:val="43"/>
  </w:num>
  <w:num w:numId="35" w16cid:durableId="479537364">
    <w:abstractNumId w:val="17"/>
  </w:num>
  <w:num w:numId="36" w16cid:durableId="555048886">
    <w:abstractNumId w:val="32"/>
  </w:num>
  <w:num w:numId="37" w16cid:durableId="770584132">
    <w:abstractNumId w:val="44"/>
  </w:num>
  <w:num w:numId="38" w16cid:durableId="1385644967">
    <w:abstractNumId w:val="14"/>
  </w:num>
  <w:num w:numId="39" w16cid:durableId="1014768341">
    <w:abstractNumId w:val="22"/>
  </w:num>
  <w:num w:numId="40" w16cid:durableId="133446571">
    <w:abstractNumId w:val="38"/>
  </w:num>
  <w:num w:numId="41" w16cid:durableId="1853495588">
    <w:abstractNumId w:val="47"/>
  </w:num>
  <w:num w:numId="42" w16cid:durableId="905995746">
    <w:abstractNumId w:val="31"/>
  </w:num>
  <w:num w:numId="43" w16cid:durableId="76751326">
    <w:abstractNumId w:val="1"/>
  </w:num>
  <w:num w:numId="44" w16cid:durableId="354578539">
    <w:abstractNumId w:val="35"/>
  </w:num>
  <w:num w:numId="45" w16cid:durableId="72435811">
    <w:abstractNumId w:val="5"/>
  </w:num>
  <w:num w:numId="46" w16cid:durableId="1970892550">
    <w:abstractNumId w:val="49"/>
  </w:num>
  <w:num w:numId="47" w16cid:durableId="770858971">
    <w:abstractNumId w:val="2"/>
  </w:num>
  <w:num w:numId="48" w16cid:durableId="1421487237">
    <w:abstractNumId w:val="6"/>
  </w:num>
  <w:num w:numId="49" w16cid:durableId="1919897664">
    <w:abstractNumId w:val="4"/>
  </w:num>
  <w:num w:numId="50" w16cid:durableId="168646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34"/>
    <w:rsid w:val="000272FB"/>
    <w:rsid w:val="0005750F"/>
    <w:rsid w:val="000659BA"/>
    <w:rsid w:val="00080FBC"/>
    <w:rsid w:val="000B7117"/>
    <w:rsid w:val="000F490F"/>
    <w:rsid w:val="00141682"/>
    <w:rsid w:val="00143659"/>
    <w:rsid w:val="00152AD1"/>
    <w:rsid w:val="001568CB"/>
    <w:rsid w:val="00183E0C"/>
    <w:rsid w:val="001913FE"/>
    <w:rsid w:val="001979B1"/>
    <w:rsid w:val="001E5297"/>
    <w:rsid w:val="001F2A97"/>
    <w:rsid w:val="001F5BC2"/>
    <w:rsid w:val="00220A4A"/>
    <w:rsid w:val="00222C0F"/>
    <w:rsid w:val="002355A4"/>
    <w:rsid w:val="00243014"/>
    <w:rsid w:val="002E44C0"/>
    <w:rsid w:val="002F609E"/>
    <w:rsid w:val="00343B8B"/>
    <w:rsid w:val="00353D08"/>
    <w:rsid w:val="00366656"/>
    <w:rsid w:val="00373FB3"/>
    <w:rsid w:val="003A556D"/>
    <w:rsid w:val="003F41C5"/>
    <w:rsid w:val="004129EE"/>
    <w:rsid w:val="00450BDD"/>
    <w:rsid w:val="00474C11"/>
    <w:rsid w:val="00476BC2"/>
    <w:rsid w:val="0048490C"/>
    <w:rsid w:val="00487F1A"/>
    <w:rsid w:val="0049670E"/>
    <w:rsid w:val="004E4677"/>
    <w:rsid w:val="004F7B94"/>
    <w:rsid w:val="005054FD"/>
    <w:rsid w:val="00521701"/>
    <w:rsid w:val="0053460D"/>
    <w:rsid w:val="00535A33"/>
    <w:rsid w:val="00576B06"/>
    <w:rsid w:val="00581AAF"/>
    <w:rsid w:val="00631AB5"/>
    <w:rsid w:val="0064153B"/>
    <w:rsid w:val="00642614"/>
    <w:rsid w:val="006479EC"/>
    <w:rsid w:val="006848B2"/>
    <w:rsid w:val="006E1E75"/>
    <w:rsid w:val="00706609"/>
    <w:rsid w:val="00715F16"/>
    <w:rsid w:val="0073495D"/>
    <w:rsid w:val="00740B7B"/>
    <w:rsid w:val="00742E9A"/>
    <w:rsid w:val="00760071"/>
    <w:rsid w:val="0076175B"/>
    <w:rsid w:val="00795CAD"/>
    <w:rsid w:val="007C76EC"/>
    <w:rsid w:val="008166EE"/>
    <w:rsid w:val="0085642E"/>
    <w:rsid w:val="008570AF"/>
    <w:rsid w:val="008A5548"/>
    <w:rsid w:val="0090774A"/>
    <w:rsid w:val="00951569"/>
    <w:rsid w:val="00983D35"/>
    <w:rsid w:val="00986368"/>
    <w:rsid w:val="009D7829"/>
    <w:rsid w:val="00A65043"/>
    <w:rsid w:val="00A80FD3"/>
    <w:rsid w:val="00A9078D"/>
    <w:rsid w:val="00A95FDC"/>
    <w:rsid w:val="00A97684"/>
    <w:rsid w:val="00AC6B85"/>
    <w:rsid w:val="00AE307A"/>
    <w:rsid w:val="00AF2B84"/>
    <w:rsid w:val="00B64034"/>
    <w:rsid w:val="00B844BF"/>
    <w:rsid w:val="00B8611A"/>
    <w:rsid w:val="00BB5052"/>
    <w:rsid w:val="00BC1F5E"/>
    <w:rsid w:val="00BF42FE"/>
    <w:rsid w:val="00C06AF7"/>
    <w:rsid w:val="00C06E4D"/>
    <w:rsid w:val="00C11B6D"/>
    <w:rsid w:val="00C34C4F"/>
    <w:rsid w:val="00C45A76"/>
    <w:rsid w:val="00C61881"/>
    <w:rsid w:val="00C71A8D"/>
    <w:rsid w:val="00C9542E"/>
    <w:rsid w:val="00CA128F"/>
    <w:rsid w:val="00CB1C1E"/>
    <w:rsid w:val="00CC62B1"/>
    <w:rsid w:val="00CD7B50"/>
    <w:rsid w:val="00CF477A"/>
    <w:rsid w:val="00D04300"/>
    <w:rsid w:val="00D07399"/>
    <w:rsid w:val="00D13792"/>
    <w:rsid w:val="00D47FB7"/>
    <w:rsid w:val="00D61EF3"/>
    <w:rsid w:val="00D92058"/>
    <w:rsid w:val="00DB7F54"/>
    <w:rsid w:val="00DC6C7E"/>
    <w:rsid w:val="00DC7457"/>
    <w:rsid w:val="00E076CB"/>
    <w:rsid w:val="00E1028B"/>
    <w:rsid w:val="00E23464"/>
    <w:rsid w:val="00E24FA8"/>
    <w:rsid w:val="00E67CCF"/>
    <w:rsid w:val="00E97ABF"/>
    <w:rsid w:val="00EB59E3"/>
    <w:rsid w:val="00EC1117"/>
    <w:rsid w:val="00EC4E9D"/>
    <w:rsid w:val="00F274F4"/>
    <w:rsid w:val="00F35DB9"/>
    <w:rsid w:val="00F822FE"/>
    <w:rsid w:val="00F86C0B"/>
    <w:rsid w:val="00FA414D"/>
    <w:rsid w:val="00FB56F7"/>
    <w:rsid w:val="153696F9"/>
    <w:rsid w:val="28C4F8F6"/>
    <w:rsid w:val="3EFEFD8E"/>
    <w:rsid w:val="6C16E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6F3D"/>
  <w15:chartTrackingRefBased/>
  <w15:docId w15:val="{B38EB8AC-0AFD-4367-9994-79D3271C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7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477A"/>
    <w:pPr>
      <w:keepNext/>
      <w:keepLines/>
      <w:numPr>
        <w:ilvl w:val="1"/>
        <w:numId w:val="3"/>
      </w:numPr>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6479EC"/>
    <w:pPr>
      <w:keepNext/>
      <w:keepLines/>
      <w:numPr>
        <w:ilvl w:val="2"/>
        <w:numId w:val="3"/>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CF477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477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477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477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477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77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A33"/>
    <w:pPr>
      <w:ind w:left="720"/>
      <w:contextualSpacing/>
    </w:pPr>
  </w:style>
  <w:style w:type="character" w:customStyle="1" w:styleId="Heading1Char">
    <w:name w:val="Heading 1 Char"/>
    <w:basedOn w:val="DefaultParagraphFont"/>
    <w:link w:val="Heading1"/>
    <w:uiPriority w:val="9"/>
    <w:rsid w:val="00CF47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477A"/>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6479EC"/>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CF477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F477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F477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F477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F47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77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617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75B"/>
    <w:rPr>
      <w:rFonts w:ascii="Times New Roman" w:hAnsi="Times New Roman" w:cs="Times New Roman"/>
      <w:sz w:val="18"/>
      <w:szCs w:val="18"/>
    </w:rPr>
  </w:style>
  <w:style w:type="table" w:styleId="TableGrid">
    <w:name w:val="Table Grid"/>
    <w:basedOn w:val="TableNormal"/>
    <w:uiPriority w:val="39"/>
    <w:rsid w:val="00761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09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97ABF"/>
    <w:rPr>
      <w:color w:val="0563C1" w:themeColor="hyperlink"/>
      <w:u w:val="single"/>
    </w:rPr>
  </w:style>
  <w:style w:type="character" w:styleId="UnresolvedMention">
    <w:name w:val="Unresolved Mention"/>
    <w:basedOn w:val="DefaultParagraphFont"/>
    <w:uiPriority w:val="99"/>
    <w:semiHidden/>
    <w:unhideWhenUsed/>
    <w:rsid w:val="00E97ABF"/>
    <w:rPr>
      <w:color w:val="605E5C"/>
      <w:shd w:val="clear" w:color="auto" w:fill="E1DFDD"/>
    </w:rPr>
  </w:style>
  <w:style w:type="paragraph" w:customStyle="1" w:styleId="paragraph">
    <w:name w:val="paragraph"/>
    <w:basedOn w:val="Normal"/>
    <w:rsid w:val="00222C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2C0F"/>
  </w:style>
  <w:style w:type="character" w:customStyle="1" w:styleId="eop">
    <w:name w:val="eop"/>
    <w:basedOn w:val="DefaultParagraphFont"/>
    <w:rsid w:val="0022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4506">
      <w:bodyDiv w:val="1"/>
      <w:marLeft w:val="0"/>
      <w:marRight w:val="0"/>
      <w:marTop w:val="0"/>
      <w:marBottom w:val="0"/>
      <w:divBdr>
        <w:top w:val="none" w:sz="0" w:space="0" w:color="auto"/>
        <w:left w:val="none" w:sz="0" w:space="0" w:color="auto"/>
        <w:bottom w:val="none" w:sz="0" w:space="0" w:color="auto"/>
        <w:right w:val="none" w:sz="0" w:space="0" w:color="auto"/>
      </w:divBdr>
      <w:divsChild>
        <w:div w:id="752776268">
          <w:marLeft w:val="0"/>
          <w:marRight w:val="0"/>
          <w:marTop w:val="0"/>
          <w:marBottom w:val="0"/>
          <w:divBdr>
            <w:top w:val="none" w:sz="0" w:space="0" w:color="auto"/>
            <w:left w:val="none" w:sz="0" w:space="0" w:color="auto"/>
            <w:bottom w:val="none" w:sz="0" w:space="0" w:color="auto"/>
            <w:right w:val="none" w:sz="0" w:space="0" w:color="auto"/>
          </w:divBdr>
        </w:div>
        <w:div w:id="1056271137">
          <w:marLeft w:val="0"/>
          <w:marRight w:val="0"/>
          <w:marTop w:val="0"/>
          <w:marBottom w:val="0"/>
          <w:divBdr>
            <w:top w:val="none" w:sz="0" w:space="0" w:color="auto"/>
            <w:left w:val="none" w:sz="0" w:space="0" w:color="auto"/>
            <w:bottom w:val="none" w:sz="0" w:space="0" w:color="auto"/>
            <w:right w:val="none" w:sz="0" w:space="0" w:color="auto"/>
          </w:divBdr>
        </w:div>
        <w:div w:id="1825195131">
          <w:marLeft w:val="0"/>
          <w:marRight w:val="0"/>
          <w:marTop w:val="0"/>
          <w:marBottom w:val="0"/>
          <w:divBdr>
            <w:top w:val="none" w:sz="0" w:space="0" w:color="auto"/>
            <w:left w:val="none" w:sz="0" w:space="0" w:color="auto"/>
            <w:bottom w:val="none" w:sz="0" w:space="0" w:color="auto"/>
            <w:right w:val="none" w:sz="0" w:space="0" w:color="auto"/>
          </w:divBdr>
        </w:div>
        <w:div w:id="2001732108">
          <w:marLeft w:val="0"/>
          <w:marRight w:val="0"/>
          <w:marTop w:val="0"/>
          <w:marBottom w:val="0"/>
          <w:divBdr>
            <w:top w:val="none" w:sz="0" w:space="0" w:color="auto"/>
            <w:left w:val="none" w:sz="0" w:space="0" w:color="auto"/>
            <w:bottom w:val="none" w:sz="0" w:space="0" w:color="auto"/>
            <w:right w:val="none" w:sz="0" w:space="0" w:color="auto"/>
          </w:divBdr>
          <w:divsChild>
            <w:div w:id="743332431">
              <w:marLeft w:val="0"/>
              <w:marRight w:val="0"/>
              <w:marTop w:val="0"/>
              <w:marBottom w:val="0"/>
              <w:divBdr>
                <w:top w:val="none" w:sz="0" w:space="0" w:color="auto"/>
                <w:left w:val="none" w:sz="0" w:space="0" w:color="auto"/>
                <w:bottom w:val="none" w:sz="0" w:space="0" w:color="auto"/>
                <w:right w:val="none" w:sz="0" w:space="0" w:color="auto"/>
              </w:divBdr>
            </w:div>
            <w:div w:id="1019740637">
              <w:marLeft w:val="0"/>
              <w:marRight w:val="0"/>
              <w:marTop w:val="0"/>
              <w:marBottom w:val="0"/>
              <w:divBdr>
                <w:top w:val="none" w:sz="0" w:space="0" w:color="auto"/>
                <w:left w:val="none" w:sz="0" w:space="0" w:color="auto"/>
                <w:bottom w:val="none" w:sz="0" w:space="0" w:color="auto"/>
                <w:right w:val="none" w:sz="0" w:space="0" w:color="auto"/>
              </w:divBdr>
            </w:div>
            <w:div w:id="1973948477">
              <w:marLeft w:val="0"/>
              <w:marRight w:val="0"/>
              <w:marTop w:val="0"/>
              <w:marBottom w:val="0"/>
              <w:divBdr>
                <w:top w:val="none" w:sz="0" w:space="0" w:color="auto"/>
                <w:left w:val="none" w:sz="0" w:space="0" w:color="auto"/>
                <w:bottom w:val="none" w:sz="0" w:space="0" w:color="auto"/>
                <w:right w:val="none" w:sz="0" w:space="0" w:color="auto"/>
              </w:divBdr>
            </w:div>
            <w:div w:id="312026036">
              <w:marLeft w:val="0"/>
              <w:marRight w:val="0"/>
              <w:marTop w:val="0"/>
              <w:marBottom w:val="0"/>
              <w:divBdr>
                <w:top w:val="none" w:sz="0" w:space="0" w:color="auto"/>
                <w:left w:val="none" w:sz="0" w:space="0" w:color="auto"/>
                <w:bottom w:val="none" w:sz="0" w:space="0" w:color="auto"/>
                <w:right w:val="none" w:sz="0" w:space="0" w:color="auto"/>
              </w:divBdr>
            </w:div>
            <w:div w:id="1407453613">
              <w:marLeft w:val="0"/>
              <w:marRight w:val="0"/>
              <w:marTop w:val="0"/>
              <w:marBottom w:val="0"/>
              <w:divBdr>
                <w:top w:val="none" w:sz="0" w:space="0" w:color="auto"/>
                <w:left w:val="none" w:sz="0" w:space="0" w:color="auto"/>
                <w:bottom w:val="none" w:sz="0" w:space="0" w:color="auto"/>
                <w:right w:val="none" w:sz="0" w:space="0" w:color="auto"/>
              </w:divBdr>
            </w:div>
            <w:div w:id="1009064715">
              <w:marLeft w:val="0"/>
              <w:marRight w:val="0"/>
              <w:marTop w:val="0"/>
              <w:marBottom w:val="0"/>
              <w:divBdr>
                <w:top w:val="none" w:sz="0" w:space="0" w:color="auto"/>
                <w:left w:val="none" w:sz="0" w:space="0" w:color="auto"/>
                <w:bottom w:val="none" w:sz="0" w:space="0" w:color="auto"/>
                <w:right w:val="none" w:sz="0" w:space="0" w:color="auto"/>
              </w:divBdr>
            </w:div>
            <w:div w:id="71515775">
              <w:marLeft w:val="0"/>
              <w:marRight w:val="0"/>
              <w:marTop w:val="0"/>
              <w:marBottom w:val="0"/>
              <w:divBdr>
                <w:top w:val="none" w:sz="0" w:space="0" w:color="auto"/>
                <w:left w:val="none" w:sz="0" w:space="0" w:color="auto"/>
                <w:bottom w:val="none" w:sz="0" w:space="0" w:color="auto"/>
                <w:right w:val="none" w:sz="0" w:space="0" w:color="auto"/>
              </w:divBdr>
            </w:div>
            <w:div w:id="2029523003">
              <w:marLeft w:val="0"/>
              <w:marRight w:val="0"/>
              <w:marTop w:val="0"/>
              <w:marBottom w:val="0"/>
              <w:divBdr>
                <w:top w:val="none" w:sz="0" w:space="0" w:color="auto"/>
                <w:left w:val="none" w:sz="0" w:space="0" w:color="auto"/>
                <w:bottom w:val="none" w:sz="0" w:space="0" w:color="auto"/>
                <w:right w:val="none" w:sz="0" w:space="0" w:color="auto"/>
              </w:divBdr>
            </w:div>
            <w:div w:id="1090545445">
              <w:marLeft w:val="0"/>
              <w:marRight w:val="0"/>
              <w:marTop w:val="0"/>
              <w:marBottom w:val="0"/>
              <w:divBdr>
                <w:top w:val="none" w:sz="0" w:space="0" w:color="auto"/>
                <w:left w:val="none" w:sz="0" w:space="0" w:color="auto"/>
                <w:bottom w:val="none" w:sz="0" w:space="0" w:color="auto"/>
                <w:right w:val="none" w:sz="0" w:space="0" w:color="auto"/>
              </w:divBdr>
            </w:div>
            <w:div w:id="1578439866">
              <w:marLeft w:val="0"/>
              <w:marRight w:val="0"/>
              <w:marTop w:val="0"/>
              <w:marBottom w:val="0"/>
              <w:divBdr>
                <w:top w:val="none" w:sz="0" w:space="0" w:color="auto"/>
                <w:left w:val="none" w:sz="0" w:space="0" w:color="auto"/>
                <w:bottom w:val="none" w:sz="0" w:space="0" w:color="auto"/>
                <w:right w:val="none" w:sz="0" w:space="0" w:color="auto"/>
              </w:divBdr>
            </w:div>
            <w:div w:id="226451659">
              <w:marLeft w:val="0"/>
              <w:marRight w:val="0"/>
              <w:marTop w:val="0"/>
              <w:marBottom w:val="0"/>
              <w:divBdr>
                <w:top w:val="none" w:sz="0" w:space="0" w:color="auto"/>
                <w:left w:val="none" w:sz="0" w:space="0" w:color="auto"/>
                <w:bottom w:val="none" w:sz="0" w:space="0" w:color="auto"/>
                <w:right w:val="none" w:sz="0" w:space="0" w:color="auto"/>
              </w:divBdr>
            </w:div>
            <w:div w:id="1266380880">
              <w:marLeft w:val="0"/>
              <w:marRight w:val="0"/>
              <w:marTop w:val="0"/>
              <w:marBottom w:val="0"/>
              <w:divBdr>
                <w:top w:val="none" w:sz="0" w:space="0" w:color="auto"/>
                <w:left w:val="none" w:sz="0" w:space="0" w:color="auto"/>
                <w:bottom w:val="none" w:sz="0" w:space="0" w:color="auto"/>
                <w:right w:val="none" w:sz="0" w:space="0" w:color="auto"/>
              </w:divBdr>
            </w:div>
            <w:div w:id="1840080663">
              <w:marLeft w:val="0"/>
              <w:marRight w:val="0"/>
              <w:marTop w:val="0"/>
              <w:marBottom w:val="0"/>
              <w:divBdr>
                <w:top w:val="none" w:sz="0" w:space="0" w:color="auto"/>
                <w:left w:val="none" w:sz="0" w:space="0" w:color="auto"/>
                <w:bottom w:val="none" w:sz="0" w:space="0" w:color="auto"/>
                <w:right w:val="none" w:sz="0" w:space="0" w:color="auto"/>
              </w:divBdr>
            </w:div>
            <w:div w:id="1974824620">
              <w:marLeft w:val="0"/>
              <w:marRight w:val="0"/>
              <w:marTop w:val="0"/>
              <w:marBottom w:val="0"/>
              <w:divBdr>
                <w:top w:val="none" w:sz="0" w:space="0" w:color="auto"/>
                <w:left w:val="none" w:sz="0" w:space="0" w:color="auto"/>
                <w:bottom w:val="none" w:sz="0" w:space="0" w:color="auto"/>
                <w:right w:val="none" w:sz="0" w:space="0" w:color="auto"/>
              </w:divBdr>
            </w:div>
            <w:div w:id="1747339482">
              <w:marLeft w:val="0"/>
              <w:marRight w:val="0"/>
              <w:marTop w:val="0"/>
              <w:marBottom w:val="0"/>
              <w:divBdr>
                <w:top w:val="none" w:sz="0" w:space="0" w:color="auto"/>
                <w:left w:val="none" w:sz="0" w:space="0" w:color="auto"/>
                <w:bottom w:val="none" w:sz="0" w:space="0" w:color="auto"/>
                <w:right w:val="none" w:sz="0" w:space="0" w:color="auto"/>
              </w:divBdr>
            </w:div>
            <w:div w:id="1746339563">
              <w:marLeft w:val="0"/>
              <w:marRight w:val="0"/>
              <w:marTop w:val="0"/>
              <w:marBottom w:val="0"/>
              <w:divBdr>
                <w:top w:val="none" w:sz="0" w:space="0" w:color="auto"/>
                <w:left w:val="none" w:sz="0" w:space="0" w:color="auto"/>
                <w:bottom w:val="none" w:sz="0" w:space="0" w:color="auto"/>
                <w:right w:val="none" w:sz="0" w:space="0" w:color="auto"/>
              </w:divBdr>
            </w:div>
            <w:div w:id="38365339">
              <w:marLeft w:val="0"/>
              <w:marRight w:val="0"/>
              <w:marTop w:val="0"/>
              <w:marBottom w:val="0"/>
              <w:divBdr>
                <w:top w:val="none" w:sz="0" w:space="0" w:color="auto"/>
                <w:left w:val="none" w:sz="0" w:space="0" w:color="auto"/>
                <w:bottom w:val="none" w:sz="0" w:space="0" w:color="auto"/>
                <w:right w:val="none" w:sz="0" w:space="0" w:color="auto"/>
              </w:divBdr>
            </w:div>
            <w:div w:id="644970944">
              <w:marLeft w:val="0"/>
              <w:marRight w:val="0"/>
              <w:marTop w:val="0"/>
              <w:marBottom w:val="0"/>
              <w:divBdr>
                <w:top w:val="none" w:sz="0" w:space="0" w:color="auto"/>
                <w:left w:val="none" w:sz="0" w:space="0" w:color="auto"/>
                <w:bottom w:val="none" w:sz="0" w:space="0" w:color="auto"/>
                <w:right w:val="none" w:sz="0" w:space="0" w:color="auto"/>
              </w:divBdr>
            </w:div>
            <w:div w:id="1761026395">
              <w:marLeft w:val="0"/>
              <w:marRight w:val="0"/>
              <w:marTop w:val="0"/>
              <w:marBottom w:val="0"/>
              <w:divBdr>
                <w:top w:val="none" w:sz="0" w:space="0" w:color="auto"/>
                <w:left w:val="none" w:sz="0" w:space="0" w:color="auto"/>
                <w:bottom w:val="none" w:sz="0" w:space="0" w:color="auto"/>
                <w:right w:val="none" w:sz="0" w:space="0" w:color="auto"/>
              </w:divBdr>
            </w:div>
            <w:div w:id="586378924">
              <w:marLeft w:val="0"/>
              <w:marRight w:val="0"/>
              <w:marTop w:val="0"/>
              <w:marBottom w:val="0"/>
              <w:divBdr>
                <w:top w:val="none" w:sz="0" w:space="0" w:color="auto"/>
                <w:left w:val="none" w:sz="0" w:space="0" w:color="auto"/>
                <w:bottom w:val="none" w:sz="0" w:space="0" w:color="auto"/>
                <w:right w:val="none" w:sz="0" w:space="0" w:color="auto"/>
              </w:divBdr>
            </w:div>
          </w:divsChild>
        </w:div>
        <w:div w:id="757020475">
          <w:marLeft w:val="0"/>
          <w:marRight w:val="0"/>
          <w:marTop w:val="0"/>
          <w:marBottom w:val="0"/>
          <w:divBdr>
            <w:top w:val="none" w:sz="0" w:space="0" w:color="auto"/>
            <w:left w:val="none" w:sz="0" w:space="0" w:color="auto"/>
            <w:bottom w:val="none" w:sz="0" w:space="0" w:color="auto"/>
            <w:right w:val="none" w:sz="0" w:space="0" w:color="auto"/>
          </w:divBdr>
          <w:divsChild>
            <w:div w:id="499002912">
              <w:marLeft w:val="0"/>
              <w:marRight w:val="0"/>
              <w:marTop w:val="0"/>
              <w:marBottom w:val="0"/>
              <w:divBdr>
                <w:top w:val="none" w:sz="0" w:space="0" w:color="auto"/>
                <w:left w:val="none" w:sz="0" w:space="0" w:color="auto"/>
                <w:bottom w:val="none" w:sz="0" w:space="0" w:color="auto"/>
                <w:right w:val="none" w:sz="0" w:space="0" w:color="auto"/>
              </w:divBdr>
            </w:div>
            <w:div w:id="194998944">
              <w:marLeft w:val="0"/>
              <w:marRight w:val="0"/>
              <w:marTop w:val="0"/>
              <w:marBottom w:val="0"/>
              <w:divBdr>
                <w:top w:val="none" w:sz="0" w:space="0" w:color="auto"/>
                <w:left w:val="none" w:sz="0" w:space="0" w:color="auto"/>
                <w:bottom w:val="none" w:sz="0" w:space="0" w:color="auto"/>
                <w:right w:val="none" w:sz="0" w:space="0" w:color="auto"/>
              </w:divBdr>
            </w:div>
            <w:div w:id="286592890">
              <w:marLeft w:val="0"/>
              <w:marRight w:val="0"/>
              <w:marTop w:val="0"/>
              <w:marBottom w:val="0"/>
              <w:divBdr>
                <w:top w:val="none" w:sz="0" w:space="0" w:color="auto"/>
                <w:left w:val="none" w:sz="0" w:space="0" w:color="auto"/>
                <w:bottom w:val="none" w:sz="0" w:space="0" w:color="auto"/>
                <w:right w:val="none" w:sz="0" w:space="0" w:color="auto"/>
              </w:divBdr>
            </w:div>
            <w:div w:id="969894846">
              <w:marLeft w:val="0"/>
              <w:marRight w:val="0"/>
              <w:marTop w:val="0"/>
              <w:marBottom w:val="0"/>
              <w:divBdr>
                <w:top w:val="none" w:sz="0" w:space="0" w:color="auto"/>
                <w:left w:val="none" w:sz="0" w:space="0" w:color="auto"/>
                <w:bottom w:val="none" w:sz="0" w:space="0" w:color="auto"/>
                <w:right w:val="none" w:sz="0" w:space="0" w:color="auto"/>
              </w:divBdr>
            </w:div>
            <w:div w:id="235943973">
              <w:marLeft w:val="0"/>
              <w:marRight w:val="0"/>
              <w:marTop w:val="0"/>
              <w:marBottom w:val="0"/>
              <w:divBdr>
                <w:top w:val="none" w:sz="0" w:space="0" w:color="auto"/>
                <w:left w:val="none" w:sz="0" w:space="0" w:color="auto"/>
                <w:bottom w:val="none" w:sz="0" w:space="0" w:color="auto"/>
                <w:right w:val="none" w:sz="0" w:space="0" w:color="auto"/>
              </w:divBdr>
            </w:div>
            <w:div w:id="1857574755">
              <w:marLeft w:val="0"/>
              <w:marRight w:val="0"/>
              <w:marTop w:val="0"/>
              <w:marBottom w:val="0"/>
              <w:divBdr>
                <w:top w:val="none" w:sz="0" w:space="0" w:color="auto"/>
                <w:left w:val="none" w:sz="0" w:space="0" w:color="auto"/>
                <w:bottom w:val="none" w:sz="0" w:space="0" w:color="auto"/>
                <w:right w:val="none" w:sz="0" w:space="0" w:color="auto"/>
              </w:divBdr>
            </w:div>
            <w:div w:id="195316913">
              <w:marLeft w:val="0"/>
              <w:marRight w:val="0"/>
              <w:marTop w:val="0"/>
              <w:marBottom w:val="0"/>
              <w:divBdr>
                <w:top w:val="none" w:sz="0" w:space="0" w:color="auto"/>
                <w:left w:val="none" w:sz="0" w:space="0" w:color="auto"/>
                <w:bottom w:val="none" w:sz="0" w:space="0" w:color="auto"/>
                <w:right w:val="none" w:sz="0" w:space="0" w:color="auto"/>
              </w:divBdr>
            </w:div>
            <w:div w:id="811093146">
              <w:marLeft w:val="0"/>
              <w:marRight w:val="0"/>
              <w:marTop w:val="0"/>
              <w:marBottom w:val="0"/>
              <w:divBdr>
                <w:top w:val="none" w:sz="0" w:space="0" w:color="auto"/>
                <w:left w:val="none" w:sz="0" w:space="0" w:color="auto"/>
                <w:bottom w:val="none" w:sz="0" w:space="0" w:color="auto"/>
                <w:right w:val="none" w:sz="0" w:space="0" w:color="auto"/>
              </w:divBdr>
            </w:div>
            <w:div w:id="1304198240">
              <w:marLeft w:val="0"/>
              <w:marRight w:val="0"/>
              <w:marTop w:val="0"/>
              <w:marBottom w:val="0"/>
              <w:divBdr>
                <w:top w:val="none" w:sz="0" w:space="0" w:color="auto"/>
                <w:left w:val="none" w:sz="0" w:space="0" w:color="auto"/>
                <w:bottom w:val="none" w:sz="0" w:space="0" w:color="auto"/>
                <w:right w:val="none" w:sz="0" w:space="0" w:color="auto"/>
              </w:divBdr>
            </w:div>
            <w:div w:id="745958351">
              <w:marLeft w:val="0"/>
              <w:marRight w:val="0"/>
              <w:marTop w:val="0"/>
              <w:marBottom w:val="0"/>
              <w:divBdr>
                <w:top w:val="none" w:sz="0" w:space="0" w:color="auto"/>
                <w:left w:val="none" w:sz="0" w:space="0" w:color="auto"/>
                <w:bottom w:val="none" w:sz="0" w:space="0" w:color="auto"/>
                <w:right w:val="none" w:sz="0" w:space="0" w:color="auto"/>
              </w:divBdr>
            </w:div>
            <w:div w:id="2063602944">
              <w:marLeft w:val="0"/>
              <w:marRight w:val="0"/>
              <w:marTop w:val="0"/>
              <w:marBottom w:val="0"/>
              <w:divBdr>
                <w:top w:val="none" w:sz="0" w:space="0" w:color="auto"/>
                <w:left w:val="none" w:sz="0" w:space="0" w:color="auto"/>
                <w:bottom w:val="none" w:sz="0" w:space="0" w:color="auto"/>
                <w:right w:val="none" w:sz="0" w:space="0" w:color="auto"/>
              </w:divBdr>
            </w:div>
            <w:div w:id="768544657">
              <w:marLeft w:val="0"/>
              <w:marRight w:val="0"/>
              <w:marTop w:val="0"/>
              <w:marBottom w:val="0"/>
              <w:divBdr>
                <w:top w:val="none" w:sz="0" w:space="0" w:color="auto"/>
                <w:left w:val="none" w:sz="0" w:space="0" w:color="auto"/>
                <w:bottom w:val="none" w:sz="0" w:space="0" w:color="auto"/>
                <w:right w:val="none" w:sz="0" w:space="0" w:color="auto"/>
              </w:divBdr>
            </w:div>
            <w:div w:id="1276595921">
              <w:marLeft w:val="0"/>
              <w:marRight w:val="0"/>
              <w:marTop w:val="0"/>
              <w:marBottom w:val="0"/>
              <w:divBdr>
                <w:top w:val="none" w:sz="0" w:space="0" w:color="auto"/>
                <w:left w:val="none" w:sz="0" w:space="0" w:color="auto"/>
                <w:bottom w:val="none" w:sz="0" w:space="0" w:color="auto"/>
                <w:right w:val="none" w:sz="0" w:space="0" w:color="auto"/>
              </w:divBdr>
            </w:div>
            <w:div w:id="1650479572">
              <w:marLeft w:val="0"/>
              <w:marRight w:val="0"/>
              <w:marTop w:val="0"/>
              <w:marBottom w:val="0"/>
              <w:divBdr>
                <w:top w:val="none" w:sz="0" w:space="0" w:color="auto"/>
                <w:left w:val="none" w:sz="0" w:space="0" w:color="auto"/>
                <w:bottom w:val="none" w:sz="0" w:space="0" w:color="auto"/>
                <w:right w:val="none" w:sz="0" w:space="0" w:color="auto"/>
              </w:divBdr>
            </w:div>
            <w:div w:id="1672176554">
              <w:marLeft w:val="0"/>
              <w:marRight w:val="0"/>
              <w:marTop w:val="0"/>
              <w:marBottom w:val="0"/>
              <w:divBdr>
                <w:top w:val="none" w:sz="0" w:space="0" w:color="auto"/>
                <w:left w:val="none" w:sz="0" w:space="0" w:color="auto"/>
                <w:bottom w:val="none" w:sz="0" w:space="0" w:color="auto"/>
                <w:right w:val="none" w:sz="0" w:space="0" w:color="auto"/>
              </w:divBdr>
            </w:div>
            <w:div w:id="611790879">
              <w:marLeft w:val="0"/>
              <w:marRight w:val="0"/>
              <w:marTop w:val="0"/>
              <w:marBottom w:val="0"/>
              <w:divBdr>
                <w:top w:val="none" w:sz="0" w:space="0" w:color="auto"/>
                <w:left w:val="none" w:sz="0" w:space="0" w:color="auto"/>
                <w:bottom w:val="none" w:sz="0" w:space="0" w:color="auto"/>
                <w:right w:val="none" w:sz="0" w:space="0" w:color="auto"/>
              </w:divBdr>
            </w:div>
            <w:div w:id="670913068">
              <w:marLeft w:val="0"/>
              <w:marRight w:val="0"/>
              <w:marTop w:val="0"/>
              <w:marBottom w:val="0"/>
              <w:divBdr>
                <w:top w:val="none" w:sz="0" w:space="0" w:color="auto"/>
                <w:left w:val="none" w:sz="0" w:space="0" w:color="auto"/>
                <w:bottom w:val="none" w:sz="0" w:space="0" w:color="auto"/>
                <w:right w:val="none" w:sz="0" w:space="0" w:color="auto"/>
              </w:divBdr>
            </w:div>
            <w:div w:id="300773094">
              <w:marLeft w:val="0"/>
              <w:marRight w:val="0"/>
              <w:marTop w:val="0"/>
              <w:marBottom w:val="0"/>
              <w:divBdr>
                <w:top w:val="none" w:sz="0" w:space="0" w:color="auto"/>
                <w:left w:val="none" w:sz="0" w:space="0" w:color="auto"/>
                <w:bottom w:val="none" w:sz="0" w:space="0" w:color="auto"/>
                <w:right w:val="none" w:sz="0" w:space="0" w:color="auto"/>
              </w:divBdr>
            </w:div>
            <w:div w:id="499271693">
              <w:marLeft w:val="0"/>
              <w:marRight w:val="0"/>
              <w:marTop w:val="0"/>
              <w:marBottom w:val="0"/>
              <w:divBdr>
                <w:top w:val="none" w:sz="0" w:space="0" w:color="auto"/>
                <w:left w:val="none" w:sz="0" w:space="0" w:color="auto"/>
                <w:bottom w:val="none" w:sz="0" w:space="0" w:color="auto"/>
                <w:right w:val="none" w:sz="0" w:space="0" w:color="auto"/>
              </w:divBdr>
            </w:div>
            <w:div w:id="1181969667">
              <w:marLeft w:val="0"/>
              <w:marRight w:val="0"/>
              <w:marTop w:val="0"/>
              <w:marBottom w:val="0"/>
              <w:divBdr>
                <w:top w:val="none" w:sz="0" w:space="0" w:color="auto"/>
                <w:left w:val="none" w:sz="0" w:space="0" w:color="auto"/>
                <w:bottom w:val="none" w:sz="0" w:space="0" w:color="auto"/>
                <w:right w:val="none" w:sz="0" w:space="0" w:color="auto"/>
              </w:divBdr>
            </w:div>
          </w:divsChild>
        </w:div>
        <w:div w:id="1074815666">
          <w:marLeft w:val="0"/>
          <w:marRight w:val="0"/>
          <w:marTop w:val="0"/>
          <w:marBottom w:val="0"/>
          <w:divBdr>
            <w:top w:val="none" w:sz="0" w:space="0" w:color="auto"/>
            <w:left w:val="none" w:sz="0" w:space="0" w:color="auto"/>
            <w:bottom w:val="none" w:sz="0" w:space="0" w:color="auto"/>
            <w:right w:val="none" w:sz="0" w:space="0" w:color="auto"/>
          </w:divBdr>
          <w:divsChild>
            <w:div w:id="1928806681">
              <w:marLeft w:val="0"/>
              <w:marRight w:val="0"/>
              <w:marTop w:val="0"/>
              <w:marBottom w:val="0"/>
              <w:divBdr>
                <w:top w:val="none" w:sz="0" w:space="0" w:color="auto"/>
                <w:left w:val="none" w:sz="0" w:space="0" w:color="auto"/>
                <w:bottom w:val="none" w:sz="0" w:space="0" w:color="auto"/>
                <w:right w:val="none" w:sz="0" w:space="0" w:color="auto"/>
              </w:divBdr>
            </w:div>
            <w:div w:id="1762330010">
              <w:marLeft w:val="0"/>
              <w:marRight w:val="0"/>
              <w:marTop w:val="0"/>
              <w:marBottom w:val="0"/>
              <w:divBdr>
                <w:top w:val="none" w:sz="0" w:space="0" w:color="auto"/>
                <w:left w:val="none" w:sz="0" w:space="0" w:color="auto"/>
                <w:bottom w:val="none" w:sz="0" w:space="0" w:color="auto"/>
                <w:right w:val="none" w:sz="0" w:space="0" w:color="auto"/>
              </w:divBdr>
            </w:div>
            <w:div w:id="1895308885">
              <w:marLeft w:val="0"/>
              <w:marRight w:val="0"/>
              <w:marTop w:val="0"/>
              <w:marBottom w:val="0"/>
              <w:divBdr>
                <w:top w:val="none" w:sz="0" w:space="0" w:color="auto"/>
                <w:left w:val="none" w:sz="0" w:space="0" w:color="auto"/>
                <w:bottom w:val="none" w:sz="0" w:space="0" w:color="auto"/>
                <w:right w:val="none" w:sz="0" w:space="0" w:color="auto"/>
              </w:divBdr>
            </w:div>
            <w:div w:id="1216241251">
              <w:marLeft w:val="0"/>
              <w:marRight w:val="0"/>
              <w:marTop w:val="0"/>
              <w:marBottom w:val="0"/>
              <w:divBdr>
                <w:top w:val="none" w:sz="0" w:space="0" w:color="auto"/>
                <w:left w:val="none" w:sz="0" w:space="0" w:color="auto"/>
                <w:bottom w:val="none" w:sz="0" w:space="0" w:color="auto"/>
                <w:right w:val="none" w:sz="0" w:space="0" w:color="auto"/>
              </w:divBdr>
            </w:div>
            <w:div w:id="647561825">
              <w:marLeft w:val="0"/>
              <w:marRight w:val="0"/>
              <w:marTop w:val="0"/>
              <w:marBottom w:val="0"/>
              <w:divBdr>
                <w:top w:val="none" w:sz="0" w:space="0" w:color="auto"/>
                <w:left w:val="none" w:sz="0" w:space="0" w:color="auto"/>
                <w:bottom w:val="none" w:sz="0" w:space="0" w:color="auto"/>
                <w:right w:val="none" w:sz="0" w:space="0" w:color="auto"/>
              </w:divBdr>
            </w:div>
            <w:div w:id="645551305">
              <w:marLeft w:val="0"/>
              <w:marRight w:val="0"/>
              <w:marTop w:val="0"/>
              <w:marBottom w:val="0"/>
              <w:divBdr>
                <w:top w:val="none" w:sz="0" w:space="0" w:color="auto"/>
                <w:left w:val="none" w:sz="0" w:space="0" w:color="auto"/>
                <w:bottom w:val="none" w:sz="0" w:space="0" w:color="auto"/>
                <w:right w:val="none" w:sz="0" w:space="0" w:color="auto"/>
              </w:divBdr>
            </w:div>
            <w:div w:id="481434500">
              <w:marLeft w:val="0"/>
              <w:marRight w:val="0"/>
              <w:marTop w:val="0"/>
              <w:marBottom w:val="0"/>
              <w:divBdr>
                <w:top w:val="none" w:sz="0" w:space="0" w:color="auto"/>
                <w:left w:val="none" w:sz="0" w:space="0" w:color="auto"/>
                <w:bottom w:val="none" w:sz="0" w:space="0" w:color="auto"/>
                <w:right w:val="none" w:sz="0" w:space="0" w:color="auto"/>
              </w:divBdr>
            </w:div>
            <w:div w:id="1063408083">
              <w:marLeft w:val="0"/>
              <w:marRight w:val="0"/>
              <w:marTop w:val="0"/>
              <w:marBottom w:val="0"/>
              <w:divBdr>
                <w:top w:val="none" w:sz="0" w:space="0" w:color="auto"/>
                <w:left w:val="none" w:sz="0" w:space="0" w:color="auto"/>
                <w:bottom w:val="none" w:sz="0" w:space="0" w:color="auto"/>
                <w:right w:val="none" w:sz="0" w:space="0" w:color="auto"/>
              </w:divBdr>
            </w:div>
            <w:div w:id="73282972">
              <w:marLeft w:val="0"/>
              <w:marRight w:val="0"/>
              <w:marTop w:val="0"/>
              <w:marBottom w:val="0"/>
              <w:divBdr>
                <w:top w:val="none" w:sz="0" w:space="0" w:color="auto"/>
                <w:left w:val="none" w:sz="0" w:space="0" w:color="auto"/>
                <w:bottom w:val="none" w:sz="0" w:space="0" w:color="auto"/>
                <w:right w:val="none" w:sz="0" w:space="0" w:color="auto"/>
              </w:divBdr>
            </w:div>
            <w:div w:id="1380788468">
              <w:marLeft w:val="0"/>
              <w:marRight w:val="0"/>
              <w:marTop w:val="0"/>
              <w:marBottom w:val="0"/>
              <w:divBdr>
                <w:top w:val="none" w:sz="0" w:space="0" w:color="auto"/>
                <w:left w:val="none" w:sz="0" w:space="0" w:color="auto"/>
                <w:bottom w:val="none" w:sz="0" w:space="0" w:color="auto"/>
                <w:right w:val="none" w:sz="0" w:space="0" w:color="auto"/>
              </w:divBdr>
            </w:div>
            <w:div w:id="499932060">
              <w:marLeft w:val="0"/>
              <w:marRight w:val="0"/>
              <w:marTop w:val="0"/>
              <w:marBottom w:val="0"/>
              <w:divBdr>
                <w:top w:val="none" w:sz="0" w:space="0" w:color="auto"/>
                <w:left w:val="none" w:sz="0" w:space="0" w:color="auto"/>
                <w:bottom w:val="none" w:sz="0" w:space="0" w:color="auto"/>
                <w:right w:val="none" w:sz="0" w:space="0" w:color="auto"/>
              </w:divBdr>
            </w:div>
            <w:div w:id="1657418973">
              <w:marLeft w:val="0"/>
              <w:marRight w:val="0"/>
              <w:marTop w:val="0"/>
              <w:marBottom w:val="0"/>
              <w:divBdr>
                <w:top w:val="none" w:sz="0" w:space="0" w:color="auto"/>
                <w:left w:val="none" w:sz="0" w:space="0" w:color="auto"/>
                <w:bottom w:val="none" w:sz="0" w:space="0" w:color="auto"/>
                <w:right w:val="none" w:sz="0" w:space="0" w:color="auto"/>
              </w:divBdr>
            </w:div>
            <w:div w:id="965744361">
              <w:marLeft w:val="0"/>
              <w:marRight w:val="0"/>
              <w:marTop w:val="0"/>
              <w:marBottom w:val="0"/>
              <w:divBdr>
                <w:top w:val="none" w:sz="0" w:space="0" w:color="auto"/>
                <w:left w:val="none" w:sz="0" w:space="0" w:color="auto"/>
                <w:bottom w:val="none" w:sz="0" w:space="0" w:color="auto"/>
                <w:right w:val="none" w:sz="0" w:space="0" w:color="auto"/>
              </w:divBdr>
            </w:div>
            <w:div w:id="2060081444">
              <w:marLeft w:val="0"/>
              <w:marRight w:val="0"/>
              <w:marTop w:val="0"/>
              <w:marBottom w:val="0"/>
              <w:divBdr>
                <w:top w:val="none" w:sz="0" w:space="0" w:color="auto"/>
                <w:left w:val="none" w:sz="0" w:space="0" w:color="auto"/>
                <w:bottom w:val="none" w:sz="0" w:space="0" w:color="auto"/>
                <w:right w:val="none" w:sz="0" w:space="0" w:color="auto"/>
              </w:divBdr>
            </w:div>
            <w:div w:id="1840466439">
              <w:marLeft w:val="0"/>
              <w:marRight w:val="0"/>
              <w:marTop w:val="0"/>
              <w:marBottom w:val="0"/>
              <w:divBdr>
                <w:top w:val="none" w:sz="0" w:space="0" w:color="auto"/>
                <w:left w:val="none" w:sz="0" w:space="0" w:color="auto"/>
                <w:bottom w:val="none" w:sz="0" w:space="0" w:color="auto"/>
                <w:right w:val="none" w:sz="0" w:space="0" w:color="auto"/>
              </w:divBdr>
            </w:div>
            <w:div w:id="219051696">
              <w:marLeft w:val="0"/>
              <w:marRight w:val="0"/>
              <w:marTop w:val="0"/>
              <w:marBottom w:val="0"/>
              <w:divBdr>
                <w:top w:val="none" w:sz="0" w:space="0" w:color="auto"/>
                <w:left w:val="none" w:sz="0" w:space="0" w:color="auto"/>
                <w:bottom w:val="none" w:sz="0" w:space="0" w:color="auto"/>
                <w:right w:val="none" w:sz="0" w:space="0" w:color="auto"/>
              </w:divBdr>
            </w:div>
            <w:div w:id="1783374645">
              <w:marLeft w:val="0"/>
              <w:marRight w:val="0"/>
              <w:marTop w:val="0"/>
              <w:marBottom w:val="0"/>
              <w:divBdr>
                <w:top w:val="none" w:sz="0" w:space="0" w:color="auto"/>
                <w:left w:val="none" w:sz="0" w:space="0" w:color="auto"/>
                <w:bottom w:val="none" w:sz="0" w:space="0" w:color="auto"/>
                <w:right w:val="none" w:sz="0" w:space="0" w:color="auto"/>
              </w:divBdr>
            </w:div>
            <w:div w:id="758254423">
              <w:marLeft w:val="0"/>
              <w:marRight w:val="0"/>
              <w:marTop w:val="0"/>
              <w:marBottom w:val="0"/>
              <w:divBdr>
                <w:top w:val="none" w:sz="0" w:space="0" w:color="auto"/>
                <w:left w:val="none" w:sz="0" w:space="0" w:color="auto"/>
                <w:bottom w:val="none" w:sz="0" w:space="0" w:color="auto"/>
                <w:right w:val="none" w:sz="0" w:space="0" w:color="auto"/>
              </w:divBdr>
            </w:div>
            <w:div w:id="592395507">
              <w:marLeft w:val="0"/>
              <w:marRight w:val="0"/>
              <w:marTop w:val="0"/>
              <w:marBottom w:val="0"/>
              <w:divBdr>
                <w:top w:val="none" w:sz="0" w:space="0" w:color="auto"/>
                <w:left w:val="none" w:sz="0" w:space="0" w:color="auto"/>
                <w:bottom w:val="none" w:sz="0" w:space="0" w:color="auto"/>
                <w:right w:val="none" w:sz="0" w:space="0" w:color="auto"/>
              </w:divBdr>
            </w:div>
            <w:div w:id="1649281760">
              <w:marLeft w:val="0"/>
              <w:marRight w:val="0"/>
              <w:marTop w:val="0"/>
              <w:marBottom w:val="0"/>
              <w:divBdr>
                <w:top w:val="none" w:sz="0" w:space="0" w:color="auto"/>
                <w:left w:val="none" w:sz="0" w:space="0" w:color="auto"/>
                <w:bottom w:val="none" w:sz="0" w:space="0" w:color="auto"/>
                <w:right w:val="none" w:sz="0" w:space="0" w:color="auto"/>
              </w:divBdr>
            </w:div>
          </w:divsChild>
        </w:div>
        <w:div w:id="636423700">
          <w:marLeft w:val="0"/>
          <w:marRight w:val="0"/>
          <w:marTop w:val="0"/>
          <w:marBottom w:val="0"/>
          <w:divBdr>
            <w:top w:val="none" w:sz="0" w:space="0" w:color="auto"/>
            <w:left w:val="none" w:sz="0" w:space="0" w:color="auto"/>
            <w:bottom w:val="none" w:sz="0" w:space="0" w:color="auto"/>
            <w:right w:val="none" w:sz="0" w:space="0" w:color="auto"/>
          </w:divBdr>
          <w:divsChild>
            <w:div w:id="2114740025">
              <w:marLeft w:val="0"/>
              <w:marRight w:val="0"/>
              <w:marTop w:val="0"/>
              <w:marBottom w:val="0"/>
              <w:divBdr>
                <w:top w:val="none" w:sz="0" w:space="0" w:color="auto"/>
                <w:left w:val="none" w:sz="0" w:space="0" w:color="auto"/>
                <w:bottom w:val="none" w:sz="0" w:space="0" w:color="auto"/>
                <w:right w:val="none" w:sz="0" w:space="0" w:color="auto"/>
              </w:divBdr>
            </w:div>
            <w:div w:id="2028411331">
              <w:marLeft w:val="0"/>
              <w:marRight w:val="0"/>
              <w:marTop w:val="0"/>
              <w:marBottom w:val="0"/>
              <w:divBdr>
                <w:top w:val="none" w:sz="0" w:space="0" w:color="auto"/>
                <w:left w:val="none" w:sz="0" w:space="0" w:color="auto"/>
                <w:bottom w:val="none" w:sz="0" w:space="0" w:color="auto"/>
                <w:right w:val="none" w:sz="0" w:space="0" w:color="auto"/>
              </w:divBdr>
            </w:div>
            <w:div w:id="601034132">
              <w:marLeft w:val="0"/>
              <w:marRight w:val="0"/>
              <w:marTop w:val="0"/>
              <w:marBottom w:val="0"/>
              <w:divBdr>
                <w:top w:val="none" w:sz="0" w:space="0" w:color="auto"/>
                <w:left w:val="none" w:sz="0" w:space="0" w:color="auto"/>
                <w:bottom w:val="none" w:sz="0" w:space="0" w:color="auto"/>
                <w:right w:val="none" w:sz="0" w:space="0" w:color="auto"/>
              </w:divBdr>
            </w:div>
            <w:div w:id="267395936">
              <w:marLeft w:val="0"/>
              <w:marRight w:val="0"/>
              <w:marTop w:val="0"/>
              <w:marBottom w:val="0"/>
              <w:divBdr>
                <w:top w:val="none" w:sz="0" w:space="0" w:color="auto"/>
                <w:left w:val="none" w:sz="0" w:space="0" w:color="auto"/>
                <w:bottom w:val="none" w:sz="0" w:space="0" w:color="auto"/>
                <w:right w:val="none" w:sz="0" w:space="0" w:color="auto"/>
              </w:divBdr>
            </w:div>
            <w:div w:id="555047430">
              <w:marLeft w:val="0"/>
              <w:marRight w:val="0"/>
              <w:marTop w:val="0"/>
              <w:marBottom w:val="0"/>
              <w:divBdr>
                <w:top w:val="none" w:sz="0" w:space="0" w:color="auto"/>
                <w:left w:val="none" w:sz="0" w:space="0" w:color="auto"/>
                <w:bottom w:val="none" w:sz="0" w:space="0" w:color="auto"/>
                <w:right w:val="none" w:sz="0" w:space="0" w:color="auto"/>
              </w:divBdr>
            </w:div>
            <w:div w:id="2144351645">
              <w:marLeft w:val="0"/>
              <w:marRight w:val="0"/>
              <w:marTop w:val="0"/>
              <w:marBottom w:val="0"/>
              <w:divBdr>
                <w:top w:val="none" w:sz="0" w:space="0" w:color="auto"/>
                <w:left w:val="none" w:sz="0" w:space="0" w:color="auto"/>
                <w:bottom w:val="none" w:sz="0" w:space="0" w:color="auto"/>
                <w:right w:val="none" w:sz="0" w:space="0" w:color="auto"/>
              </w:divBdr>
            </w:div>
            <w:div w:id="1605264037">
              <w:marLeft w:val="0"/>
              <w:marRight w:val="0"/>
              <w:marTop w:val="0"/>
              <w:marBottom w:val="0"/>
              <w:divBdr>
                <w:top w:val="none" w:sz="0" w:space="0" w:color="auto"/>
                <w:left w:val="none" w:sz="0" w:space="0" w:color="auto"/>
                <w:bottom w:val="none" w:sz="0" w:space="0" w:color="auto"/>
                <w:right w:val="none" w:sz="0" w:space="0" w:color="auto"/>
              </w:divBdr>
            </w:div>
            <w:div w:id="840117947">
              <w:marLeft w:val="0"/>
              <w:marRight w:val="0"/>
              <w:marTop w:val="0"/>
              <w:marBottom w:val="0"/>
              <w:divBdr>
                <w:top w:val="none" w:sz="0" w:space="0" w:color="auto"/>
                <w:left w:val="none" w:sz="0" w:space="0" w:color="auto"/>
                <w:bottom w:val="none" w:sz="0" w:space="0" w:color="auto"/>
                <w:right w:val="none" w:sz="0" w:space="0" w:color="auto"/>
              </w:divBdr>
            </w:div>
            <w:div w:id="1806779660">
              <w:marLeft w:val="0"/>
              <w:marRight w:val="0"/>
              <w:marTop w:val="0"/>
              <w:marBottom w:val="0"/>
              <w:divBdr>
                <w:top w:val="none" w:sz="0" w:space="0" w:color="auto"/>
                <w:left w:val="none" w:sz="0" w:space="0" w:color="auto"/>
                <w:bottom w:val="none" w:sz="0" w:space="0" w:color="auto"/>
                <w:right w:val="none" w:sz="0" w:space="0" w:color="auto"/>
              </w:divBdr>
            </w:div>
            <w:div w:id="218438593">
              <w:marLeft w:val="0"/>
              <w:marRight w:val="0"/>
              <w:marTop w:val="0"/>
              <w:marBottom w:val="0"/>
              <w:divBdr>
                <w:top w:val="none" w:sz="0" w:space="0" w:color="auto"/>
                <w:left w:val="none" w:sz="0" w:space="0" w:color="auto"/>
                <w:bottom w:val="none" w:sz="0" w:space="0" w:color="auto"/>
                <w:right w:val="none" w:sz="0" w:space="0" w:color="auto"/>
              </w:divBdr>
            </w:div>
            <w:div w:id="1989627211">
              <w:marLeft w:val="0"/>
              <w:marRight w:val="0"/>
              <w:marTop w:val="0"/>
              <w:marBottom w:val="0"/>
              <w:divBdr>
                <w:top w:val="none" w:sz="0" w:space="0" w:color="auto"/>
                <w:left w:val="none" w:sz="0" w:space="0" w:color="auto"/>
                <w:bottom w:val="none" w:sz="0" w:space="0" w:color="auto"/>
                <w:right w:val="none" w:sz="0" w:space="0" w:color="auto"/>
              </w:divBdr>
            </w:div>
            <w:div w:id="1584488984">
              <w:marLeft w:val="0"/>
              <w:marRight w:val="0"/>
              <w:marTop w:val="0"/>
              <w:marBottom w:val="0"/>
              <w:divBdr>
                <w:top w:val="none" w:sz="0" w:space="0" w:color="auto"/>
                <w:left w:val="none" w:sz="0" w:space="0" w:color="auto"/>
                <w:bottom w:val="none" w:sz="0" w:space="0" w:color="auto"/>
                <w:right w:val="none" w:sz="0" w:space="0" w:color="auto"/>
              </w:divBdr>
            </w:div>
            <w:div w:id="1716195419">
              <w:marLeft w:val="0"/>
              <w:marRight w:val="0"/>
              <w:marTop w:val="0"/>
              <w:marBottom w:val="0"/>
              <w:divBdr>
                <w:top w:val="none" w:sz="0" w:space="0" w:color="auto"/>
                <w:left w:val="none" w:sz="0" w:space="0" w:color="auto"/>
                <w:bottom w:val="none" w:sz="0" w:space="0" w:color="auto"/>
                <w:right w:val="none" w:sz="0" w:space="0" w:color="auto"/>
              </w:divBdr>
            </w:div>
            <w:div w:id="186527548">
              <w:marLeft w:val="0"/>
              <w:marRight w:val="0"/>
              <w:marTop w:val="0"/>
              <w:marBottom w:val="0"/>
              <w:divBdr>
                <w:top w:val="none" w:sz="0" w:space="0" w:color="auto"/>
                <w:left w:val="none" w:sz="0" w:space="0" w:color="auto"/>
                <w:bottom w:val="none" w:sz="0" w:space="0" w:color="auto"/>
                <w:right w:val="none" w:sz="0" w:space="0" w:color="auto"/>
              </w:divBdr>
            </w:div>
            <w:div w:id="396250481">
              <w:marLeft w:val="0"/>
              <w:marRight w:val="0"/>
              <w:marTop w:val="0"/>
              <w:marBottom w:val="0"/>
              <w:divBdr>
                <w:top w:val="none" w:sz="0" w:space="0" w:color="auto"/>
                <w:left w:val="none" w:sz="0" w:space="0" w:color="auto"/>
                <w:bottom w:val="none" w:sz="0" w:space="0" w:color="auto"/>
                <w:right w:val="none" w:sz="0" w:space="0" w:color="auto"/>
              </w:divBdr>
            </w:div>
            <w:div w:id="1002901205">
              <w:marLeft w:val="0"/>
              <w:marRight w:val="0"/>
              <w:marTop w:val="0"/>
              <w:marBottom w:val="0"/>
              <w:divBdr>
                <w:top w:val="none" w:sz="0" w:space="0" w:color="auto"/>
                <w:left w:val="none" w:sz="0" w:space="0" w:color="auto"/>
                <w:bottom w:val="none" w:sz="0" w:space="0" w:color="auto"/>
                <w:right w:val="none" w:sz="0" w:space="0" w:color="auto"/>
              </w:divBdr>
            </w:div>
            <w:div w:id="2003002689">
              <w:marLeft w:val="0"/>
              <w:marRight w:val="0"/>
              <w:marTop w:val="0"/>
              <w:marBottom w:val="0"/>
              <w:divBdr>
                <w:top w:val="none" w:sz="0" w:space="0" w:color="auto"/>
                <w:left w:val="none" w:sz="0" w:space="0" w:color="auto"/>
                <w:bottom w:val="none" w:sz="0" w:space="0" w:color="auto"/>
                <w:right w:val="none" w:sz="0" w:space="0" w:color="auto"/>
              </w:divBdr>
            </w:div>
            <w:div w:id="611863561">
              <w:marLeft w:val="0"/>
              <w:marRight w:val="0"/>
              <w:marTop w:val="0"/>
              <w:marBottom w:val="0"/>
              <w:divBdr>
                <w:top w:val="none" w:sz="0" w:space="0" w:color="auto"/>
                <w:left w:val="none" w:sz="0" w:space="0" w:color="auto"/>
                <w:bottom w:val="none" w:sz="0" w:space="0" w:color="auto"/>
                <w:right w:val="none" w:sz="0" w:space="0" w:color="auto"/>
              </w:divBdr>
            </w:div>
            <w:div w:id="590503095">
              <w:marLeft w:val="0"/>
              <w:marRight w:val="0"/>
              <w:marTop w:val="0"/>
              <w:marBottom w:val="0"/>
              <w:divBdr>
                <w:top w:val="none" w:sz="0" w:space="0" w:color="auto"/>
                <w:left w:val="none" w:sz="0" w:space="0" w:color="auto"/>
                <w:bottom w:val="none" w:sz="0" w:space="0" w:color="auto"/>
                <w:right w:val="none" w:sz="0" w:space="0" w:color="auto"/>
              </w:divBdr>
            </w:div>
            <w:div w:id="1840466193">
              <w:marLeft w:val="0"/>
              <w:marRight w:val="0"/>
              <w:marTop w:val="0"/>
              <w:marBottom w:val="0"/>
              <w:divBdr>
                <w:top w:val="none" w:sz="0" w:space="0" w:color="auto"/>
                <w:left w:val="none" w:sz="0" w:space="0" w:color="auto"/>
                <w:bottom w:val="none" w:sz="0" w:space="0" w:color="auto"/>
                <w:right w:val="none" w:sz="0" w:space="0" w:color="auto"/>
              </w:divBdr>
            </w:div>
          </w:divsChild>
        </w:div>
        <w:div w:id="719744415">
          <w:marLeft w:val="0"/>
          <w:marRight w:val="0"/>
          <w:marTop w:val="0"/>
          <w:marBottom w:val="0"/>
          <w:divBdr>
            <w:top w:val="none" w:sz="0" w:space="0" w:color="auto"/>
            <w:left w:val="none" w:sz="0" w:space="0" w:color="auto"/>
            <w:bottom w:val="none" w:sz="0" w:space="0" w:color="auto"/>
            <w:right w:val="none" w:sz="0" w:space="0" w:color="auto"/>
          </w:divBdr>
          <w:divsChild>
            <w:div w:id="981541898">
              <w:marLeft w:val="0"/>
              <w:marRight w:val="0"/>
              <w:marTop w:val="0"/>
              <w:marBottom w:val="0"/>
              <w:divBdr>
                <w:top w:val="none" w:sz="0" w:space="0" w:color="auto"/>
                <w:left w:val="none" w:sz="0" w:space="0" w:color="auto"/>
                <w:bottom w:val="none" w:sz="0" w:space="0" w:color="auto"/>
                <w:right w:val="none" w:sz="0" w:space="0" w:color="auto"/>
              </w:divBdr>
            </w:div>
            <w:div w:id="402872293">
              <w:marLeft w:val="0"/>
              <w:marRight w:val="0"/>
              <w:marTop w:val="0"/>
              <w:marBottom w:val="0"/>
              <w:divBdr>
                <w:top w:val="none" w:sz="0" w:space="0" w:color="auto"/>
                <w:left w:val="none" w:sz="0" w:space="0" w:color="auto"/>
                <w:bottom w:val="none" w:sz="0" w:space="0" w:color="auto"/>
                <w:right w:val="none" w:sz="0" w:space="0" w:color="auto"/>
              </w:divBdr>
            </w:div>
            <w:div w:id="2102214494">
              <w:marLeft w:val="0"/>
              <w:marRight w:val="0"/>
              <w:marTop w:val="0"/>
              <w:marBottom w:val="0"/>
              <w:divBdr>
                <w:top w:val="none" w:sz="0" w:space="0" w:color="auto"/>
                <w:left w:val="none" w:sz="0" w:space="0" w:color="auto"/>
                <w:bottom w:val="none" w:sz="0" w:space="0" w:color="auto"/>
                <w:right w:val="none" w:sz="0" w:space="0" w:color="auto"/>
              </w:divBdr>
            </w:div>
            <w:div w:id="371687349">
              <w:marLeft w:val="0"/>
              <w:marRight w:val="0"/>
              <w:marTop w:val="0"/>
              <w:marBottom w:val="0"/>
              <w:divBdr>
                <w:top w:val="none" w:sz="0" w:space="0" w:color="auto"/>
                <w:left w:val="none" w:sz="0" w:space="0" w:color="auto"/>
                <w:bottom w:val="none" w:sz="0" w:space="0" w:color="auto"/>
                <w:right w:val="none" w:sz="0" w:space="0" w:color="auto"/>
              </w:divBdr>
            </w:div>
            <w:div w:id="1871914065">
              <w:marLeft w:val="0"/>
              <w:marRight w:val="0"/>
              <w:marTop w:val="0"/>
              <w:marBottom w:val="0"/>
              <w:divBdr>
                <w:top w:val="none" w:sz="0" w:space="0" w:color="auto"/>
                <w:left w:val="none" w:sz="0" w:space="0" w:color="auto"/>
                <w:bottom w:val="none" w:sz="0" w:space="0" w:color="auto"/>
                <w:right w:val="none" w:sz="0" w:space="0" w:color="auto"/>
              </w:divBdr>
            </w:div>
            <w:div w:id="1513686953">
              <w:marLeft w:val="0"/>
              <w:marRight w:val="0"/>
              <w:marTop w:val="0"/>
              <w:marBottom w:val="0"/>
              <w:divBdr>
                <w:top w:val="none" w:sz="0" w:space="0" w:color="auto"/>
                <w:left w:val="none" w:sz="0" w:space="0" w:color="auto"/>
                <w:bottom w:val="none" w:sz="0" w:space="0" w:color="auto"/>
                <w:right w:val="none" w:sz="0" w:space="0" w:color="auto"/>
              </w:divBdr>
            </w:div>
            <w:div w:id="2075426098">
              <w:marLeft w:val="0"/>
              <w:marRight w:val="0"/>
              <w:marTop w:val="0"/>
              <w:marBottom w:val="0"/>
              <w:divBdr>
                <w:top w:val="none" w:sz="0" w:space="0" w:color="auto"/>
                <w:left w:val="none" w:sz="0" w:space="0" w:color="auto"/>
                <w:bottom w:val="none" w:sz="0" w:space="0" w:color="auto"/>
                <w:right w:val="none" w:sz="0" w:space="0" w:color="auto"/>
              </w:divBdr>
            </w:div>
            <w:div w:id="287590652">
              <w:marLeft w:val="0"/>
              <w:marRight w:val="0"/>
              <w:marTop w:val="0"/>
              <w:marBottom w:val="0"/>
              <w:divBdr>
                <w:top w:val="none" w:sz="0" w:space="0" w:color="auto"/>
                <w:left w:val="none" w:sz="0" w:space="0" w:color="auto"/>
                <w:bottom w:val="none" w:sz="0" w:space="0" w:color="auto"/>
                <w:right w:val="none" w:sz="0" w:space="0" w:color="auto"/>
              </w:divBdr>
            </w:div>
            <w:div w:id="2442842">
              <w:marLeft w:val="0"/>
              <w:marRight w:val="0"/>
              <w:marTop w:val="0"/>
              <w:marBottom w:val="0"/>
              <w:divBdr>
                <w:top w:val="none" w:sz="0" w:space="0" w:color="auto"/>
                <w:left w:val="none" w:sz="0" w:space="0" w:color="auto"/>
                <w:bottom w:val="none" w:sz="0" w:space="0" w:color="auto"/>
                <w:right w:val="none" w:sz="0" w:space="0" w:color="auto"/>
              </w:divBdr>
            </w:div>
            <w:div w:id="192116712">
              <w:marLeft w:val="0"/>
              <w:marRight w:val="0"/>
              <w:marTop w:val="0"/>
              <w:marBottom w:val="0"/>
              <w:divBdr>
                <w:top w:val="none" w:sz="0" w:space="0" w:color="auto"/>
                <w:left w:val="none" w:sz="0" w:space="0" w:color="auto"/>
                <w:bottom w:val="none" w:sz="0" w:space="0" w:color="auto"/>
                <w:right w:val="none" w:sz="0" w:space="0" w:color="auto"/>
              </w:divBdr>
            </w:div>
            <w:div w:id="800685317">
              <w:marLeft w:val="0"/>
              <w:marRight w:val="0"/>
              <w:marTop w:val="0"/>
              <w:marBottom w:val="0"/>
              <w:divBdr>
                <w:top w:val="none" w:sz="0" w:space="0" w:color="auto"/>
                <w:left w:val="none" w:sz="0" w:space="0" w:color="auto"/>
                <w:bottom w:val="none" w:sz="0" w:space="0" w:color="auto"/>
                <w:right w:val="none" w:sz="0" w:space="0" w:color="auto"/>
              </w:divBdr>
            </w:div>
            <w:div w:id="1273123902">
              <w:marLeft w:val="0"/>
              <w:marRight w:val="0"/>
              <w:marTop w:val="0"/>
              <w:marBottom w:val="0"/>
              <w:divBdr>
                <w:top w:val="none" w:sz="0" w:space="0" w:color="auto"/>
                <w:left w:val="none" w:sz="0" w:space="0" w:color="auto"/>
                <w:bottom w:val="none" w:sz="0" w:space="0" w:color="auto"/>
                <w:right w:val="none" w:sz="0" w:space="0" w:color="auto"/>
              </w:divBdr>
            </w:div>
            <w:div w:id="1920671016">
              <w:marLeft w:val="0"/>
              <w:marRight w:val="0"/>
              <w:marTop w:val="0"/>
              <w:marBottom w:val="0"/>
              <w:divBdr>
                <w:top w:val="none" w:sz="0" w:space="0" w:color="auto"/>
                <w:left w:val="none" w:sz="0" w:space="0" w:color="auto"/>
                <w:bottom w:val="none" w:sz="0" w:space="0" w:color="auto"/>
                <w:right w:val="none" w:sz="0" w:space="0" w:color="auto"/>
              </w:divBdr>
            </w:div>
            <w:div w:id="325910909">
              <w:marLeft w:val="0"/>
              <w:marRight w:val="0"/>
              <w:marTop w:val="0"/>
              <w:marBottom w:val="0"/>
              <w:divBdr>
                <w:top w:val="none" w:sz="0" w:space="0" w:color="auto"/>
                <w:left w:val="none" w:sz="0" w:space="0" w:color="auto"/>
                <w:bottom w:val="none" w:sz="0" w:space="0" w:color="auto"/>
                <w:right w:val="none" w:sz="0" w:space="0" w:color="auto"/>
              </w:divBdr>
            </w:div>
            <w:div w:id="440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72316/Statutory_Induction_Guidance_2021_final__002_____1___1_.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65522/Teachers_standard_informa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78358/Early-Career_Framework_April_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E066921603645B32C14612842E5EE" ma:contentTypeVersion="18" ma:contentTypeDescription="Create a new document." ma:contentTypeScope="" ma:versionID="47c109122d03309df48bc1fa272d5135">
  <xsd:schema xmlns:xsd="http://www.w3.org/2001/XMLSchema" xmlns:xs="http://www.w3.org/2001/XMLSchema" xmlns:p="http://schemas.microsoft.com/office/2006/metadata/properties" xmlns:ns2="1f9b4581-0e42-45dc-9746-b29738c48304" xmlns:ns3="ec21d3a7-5bda-402d-b7df-a8a5b4c8eca8" targetNamespace="http://schemas.microsoft.com/office/2006/metadata/properties" ma:root="true" ma:fieldsID="401d2460cff745a5b408cbd2cb61d14c" ns2:_="" ns3:_="">
    <xsd:import namespace="1f9b4581-0e42-45dc-9746-b29738c48304"/>
    <xsd:import namespace="ec21d3a7-5bda-402d-b7df-a8a5b4c8ec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4581-0e42-45dc-9746-b29738c4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96db18-9df2-4e7a-9acd-e5ce9e2438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1d3a7-5bda-402d-b7df-a8a5b4c8ec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f5994d-0a02-4b82-a741-1de1683ff89b}" ma:internalName="TaxCatchAll" ma:showField="CatchAllData" ma:web="ec21d3a7-5bda-402d-b7df-a8a5b4c8e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9b4581-0e42-45dc-9746-b29738c48304">
      <Terms xmlns="http://schemas.microsoft.com/office/infopath/2007/PartnerControls"/>
    </lcf76f155ced4ddcb4097134ff3c332f>
    <TaxCatchAll xmlns="ec21d3a7-5bda-402d-b7df-a8a5b4c8ec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8A79-C878-4258-8072-E85433DFD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4581-0e42-45dc-9746-b29738c48304"/>
    <ds:schemaRef ds:uri="ec21d3a7-5bda-402d-b7df-a8a5b4c8e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F37D7-890F-4F66-ABCA-A5F061F774E8}">
  <ds:schemaRefs>
    <ds:schemaRef ds:uri="http://schemas.microsoft.com/sharepoint/v3/contenttype/forms"/>
  </ds:schemaRefs>
</ds:datastoreItem>
</file>

<file path=customXml/itemProps3.xml><?xml version="1.0" encoding="utf-8"?>
<ds:datastoreItem xmlns:ds="http://schemas.openxmlformats.org/officeDocument/2006/customXml" ds:itemID="{1E773643-573E-4BE9-8117-EB87929069AE}">
  <ds:schemaRefs>
    <ds:schemaRef ds:uri="http://schemas.microsoft.com/office/2006/metadata/properties"/>
    <ds:schemaRef ds:uri="http://schemas.microsoft.com/office/infopath/2007/PartnerControls"/>
    <ds:schemaRef ds:uri="91134ee4-e2de-43e4-8564-fbb423509a78"/>
    <ds:schemaRef ds:uri="6dc79583-5a2c-4488-831a-0e0e12292cb8"/>
    <ds:schemaRef ds:uri="1f9b4581-0e42-45dc-9746-b29738c48304"/>
    <ds:schemaRef ds:uri="ec21d3a7-5bda-402d-b7df-a8a5b4c8eca8"/>
  </ds:schemaRefs>
</ds:datastoreItem>
</file>

<file path=customXml/itemProps4.xml><?xml version="1.0" encoding="utf-8"?>
<ds:datastoreItem xmlns:ds="http://schemas.openxmlformats.org/officeDocument/2006/customXml" ds:itemID="{7F375318-F477-47A4-AE13-0EF2E2F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11492</Characters>
  <Application>Microsoft Office Word</Application>
  <DocSecurity>0</DocSecurity>
  <Lines>95</Lines>
  <Paragraphs>26</Paragraphs>
  <ScaleCrop>false</ScaleCrop>
  <Company>thomasdeaconacademy.com</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Hillson</dc:creator>
  <cp:keywords/>
  <dc:description/>
  <cp:lastModifiedBy>Sharon Butt</cp:lastModifiedBy>
  <cp:revision>2</cp:revision>
  <dcterms:created xsi:type="dcterms:W3CDTF">2025-10-17T10:36:00Z</dcterms:created>
  <dcterms:modified xsi:type="dcterms:W3CDTF">2025-10-17T10:36:00Z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0x010100083E066921603645B32C14612842E5EE</vt:lpwstr>
  </property>
  <property fmtid="{D5CDD505-2E9C-101B-9397-08002B2CF9AE}" pid="3" name="MediaServiceImageTags">
    <vt:lpwstr/>
  </property>
</Properties>
</file>