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29B230E3">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452" cy="1105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2C6C46AD">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003721FA">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589DC7B8" w14:textId="01A6DB26" w:rsidR="0076175B" w:rsidRDefault="00BC1F5E"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ECT Policy (Early Career Teachers)</w:t>
            </w:r>
          </w:p>
        </w:tc>
      </w:tr>
      <w:tr w:rsidR="0076175B" w14:paraId="3E2E862C" w14:textId="77777777" w:rsidTr="003721FA">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268B0096" w:rsidR="0076175B" w:rsidRPr="00F87876" w:rsidRDefault="00BC1F5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Erica Brown</w:t>
            </w:r>
          </w:p>
        </w:tc>
      </w:tr>
      <w:tr w:rsidR="0076175B" w14:paraId="1F7E7FAD" w14:textId="77777777" w:rsidTr="003721FA">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0D0409FB" w:rsidR="0076175B" w:rsidRPr="00F87876" w:rsidRDefault="00BC1F5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 members)</w:t>
            </w:r>
          </w:p>
        </w:tc>
      </w:tr>
      <w:tr w:rsidR="0076175B" w14:paraId="4E35BDE7" w14:textId="77777777" w:rsidTr="003721FA">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10470F91" w:rsidR="00141682" w:rsidRPr="00F87876" w:rsidRDefault="00BC1F5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November 2024</w:t>
            </w:r>
          </w:p>
        </w:tc>
      </w:tr>
      <w:tr w:rsidR="0076175B" w14:paraId="17620771" w14:textId="77777777" w:rsidTr="003721FA">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66065A4C" w:rsidR="0076175B" w:rsidRPr="00F87876" w:rsidRDefault="00BC1F5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September 2025</w:t>
            </w:r>
          </w:p>
        </w:tc>
      </w:tr>
      <w:tr w:rsidR="0076175B" w14:paraId="4011C283" w14:textId="77777777" w:rsidTr="003721FA">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003721FA">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Pr="00B8611A" w:rsidRDefault="00B8611A" w:rsidP="00B8611A">
      <w:pPr>
        <w:autoSpaceDE w:val="0"/>
        <w:autoSpaceDN w:val="0"/>
        <w:adjustRightInd w:val="0"/>
        <w:spacing w:after="0" w:line="240" w:lineRule="auto"/>
        <w:rPr>
          <w:rFonts w:ascii="Arial" w:hAnsi="Arial" w:cs="Arial"/>
          <w:color w:val="000000"/>
          <w:sz w:val="24"/>
          <w:szCs w:val="24"/>
        </w:rPr>
      </w:pPr>
    </w:p>
    <w:p w14:paraId="4D3409D2" w14:textId="7DB68BEE" w:rsidR="00535A33" w:rsidRDefault="00535A33" w:rsidP="00B8611A"/>
    <w:p w14:paraId="64AD3CA2" w14:textId="77777777" w:rsidR="00222C0F" w:rsidRDefault="00222C0F" w:rsidP="00B8611A"/>
    <w:p w14:paraId="31ED3A5E" w14:textId="77777777" w:rsidR="00222C0F" w:rsidRDefault="00222C0F" w:rsidP="00B8611A"/>
    <w:p w14:paraId="0EEC2B35" w14:textId="77777777" w:rsidR="00222C0F" w:rsidRDefault="00222C0F" w:rsidP="00B8611A"/>
    <w:p w14:paraId="2CD39016" w14:textId="77777777" w:rsidR="00222C0F" w:rsidRDefault="00222C0F" w:rsidP="00B8611A"/>
    <w:p w14:paraId="26DD961B" w14:textId="77777777" w:rsidR="00222C0F" w:rsidRDefault="00222C0F" w:rsidP="00B8611A"/>
    <w:p w14:paraId="77D1AB0B" w14:textId="77777777" w:rsidR="00222C0F" w:rsidRDefault="00222C0F" w:rsidP="00B8611A"/>
    <w:p w14:paraId="0E39DAAD" w14:textId="77777777" w:rsidR="00222C0F" w:rsidRDefault="00222C0F" w:rsidP="00B8611A"/>
    <w:p w14:paraId="3CE05913" w14:textId="77777777" w:rsidR="00222C0F" w:rsidRDefault="00222C0F" w:rsidP="00B8611A"/>
    <w:p w14:paraId="15C29CA0" w14:textId="77777777" w:rsidR="00222C0F" w:rsidRDefault="00222C0F" w:rsidP="00B8611A"/>
    <w:p w14:paraId="5A5FF7EE" w14:textId="77777777" w:rsidR="00222C0F" w:rsidRDefault="00222C0F" w:rsidP="00B8611A"/>
    <w:p w14:paraId="333C9F5F"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lastRenderedPageBreak/>
        <w:t>Rationale</w:t>
      </w:r>
      <w:r>
        <w:rPr>
          <w:rStyle w:val="eop"/>
          <w:rFonts w:ascii="Calibri" w:eastAsiaTheme="majorEastAsia" w:hAnsi="Calibri" w:cs="Calibri"/>
          <w:color w:val="000000"/>
          <w:sz w:val="28"/>
          <w:szCs w:val="28"/>
        </w:rPr>
        <w:t> </w:t>
      </w:r>
    </w:p>
    <w:p w14:paraId="37BABEF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first two years of teaching are not only very demanding but also of considerable significance in the professional development of an Early Career Teacher (ECT). Our school’s induction process ensures that the appropriate guidance, support, and professional development to include the development of skills, knowledge, expectations, and observations are provided through a structured but flexible individualised programme explicitly linked to the Early Career Framework (ECF): </w:t>
      </w:r>
      <w:hyperlink r:id="rId11" w:tgtFrame="_blank" w:history="1">
        <w:r>
          <w:rPr>
            <w:rStyle w:val="normaltextrun"/>
            <w:rFonts w:ascii="Calibri" w:eastAsiaTheme="majorEastAsia" w:hAnsi="Calibri" w:cs="Calibri"/>
            <w:color w:val="0000FF"/>
            <w:u w:val="single"/>
          </w:rPr>
          <w:t>https://assets.publishing.service.gov.uk/government/uploads/system/uploads/attachment_data/file/978358/Early-Career_Framework_April_2021.pdf</w:t>
        </w:r>
      </w:hyperlink>
      <w:r>
        <w:rPr>
          <w:rStyle w:val="eop"/>
          <w:rFonts w:ascii="Calibri" w:eastAsiaTheme="majorEastAsia" w:hAnsi="Calibri" w:cs="Calibri"/>
        </w:rPr>
        <w:t> </w:t>
      </w:r>
    </w:p>
    <w:p w14:paraId="123D50E5"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This programme will enable an ECT to form a secure foundation upon which a successful teaching career, fulfilling their professional duties, can be built. </w:t>
      </w:r>
      <w:r>
        <w:rPr>
          <w:rStyle w:val="normaltextrun"/>
          <w:rFonts w:ascii="Calibri" w:eastAsiaTheme="majorEastAsia" w:hAnsi="Calibri" w:cs="Calibri"/>
          <w:shd w:val="clear" w:color="auto" w:fill="FFFF00"/>
        </w:rPr>
        <w:t>Our school has decided to adopt the school based ECF…</w:t>
      </w:r>
      <w:r>
        <w:rPr>
          <w:rStyle w:val="normaltextrun"/>
          <w:rFonts w:ascii="Calibri" w:eastAsiaTheme="majorEastAsia" w:hAnsi="Calibri" w:cs="Calibri"/>
        </w:rPr>
        <w:t xml:space="preserve"> This programme will include ongoing monitoring and assessment of performance against the Teacher Standards:</w:t>
      </w:r>
      <w:r>
        <w:rPr>
          <w:rStyle w:val="eop"/>
          <w:rFonts w:ascii="Calibri" w:eastAsiaTheme="majorEastAsia" w:hAnsi="Calibri" w:cs="Calibri"/>
        </w:rPr>
        <w:t> </w:t>
      </w:r>
    </w:p>
    <w:p w14:paraId="55550D06"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eastAsiaTheme="majorEastAsia" w:hAnsi="Calibri" w:cs="Calibri"/>
            <w:color w:val="0000FF"/>
            <w:u w:val="single"/>
          </w:rPr>
          <w:t>https://assets.publishing.service.gov.uk/government/uploads/system/uploads/attachment_data/file/665522/Teachers_standard_information.pdf</w:t>
        </w:r>
      </w:hyperlink>
      <w:r>
        <w:rPr>
          <w:rStyle w:val="normaltextrun"/>
          <w:rFonts w:ascii="Calibri" w:eastAsiaTheme="majorEastAsia" w:hAnsi="Calibri" w:cs="Calibri"/>
        </w:rPr>
        <w:t> </w:t>
      </w:r>
      <w:r>
        <w:rPr>
          <w:rStyle w:val="eop"/>
          <w:rFonts w:ascii="Calibri" w:eastAsiaTheme="majorEastAsia" w:hAnsi="Calibri" w:cs="Calibri"/>
        </w:rPr>
        <w:t> </w:t>
      </w:r>
    </w:p>
    <w:p w14:paraId="3AE182FC"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86AD549"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Purposes</w:t>
      </w:r>
      <w:r>
        <w:rPr>
          <w:rStyle w:val="eop"/>
          <w:rFonts w:ascii="Calibri" w:eastAsiaTheme="majorEastAsia" w:hAnsi="Calibri" w:cs="Calibri"/>
          <w:sz w:val="28"/>
          <w:szCs w:val="28"/>
        </w:rPr>
        <w:t> </w:t>
      </w:r>
    </w:p>
    <w:p w14:paraId="35854642"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Our school’s induction process has been designed to make a significant contribution to both the professional and personal development of ECTs. The purposes of induction include:</w:t>
      </w:r>
      <w:r>
        <w:rPr>
          <w:rStyle w:val="eop"/>
          <w:rFonts w:ascii="Calibri" w:eastAsiaTheme="majorEastAsia" w:hAnsi="Calibri" w:cs="Calibri"/>
        </w:rPr>
        <w:t> </w:t>
      </w:r>
    </w:p>
    <w:p w14:paraId="54E52BD1" w14:textId="77777777" w:rsidR="00222C0F" w:rsidRDefault="00222C0F" w:rsidP="00222C0F">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programmes appropriate to the individual needs of the ECTs</w:t>
      </w:r>
      <w:r>
        <w:rPr>
          <w:rStyle w:val="eop"/>
          <w:rFonts w:ascii="Calibri" w:eastAsiaTheme="majorEastAsia" w:hAnsi="Calibri" w:cs="Calibri"/>
        </w:rPr>
        <w:t> </w:t>
      </w:r>
    </w:p>
    <w:p w14:paraId="76CEC298" w14:textId="77777777" w:rsidR="00222C0F" w:rsidRDefault="00222C0F" w:rsidP="00222C0F">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appropriate coaching and support through the role of an identified Mentor</w:t>
      </w:r>
      <w:r>
        <w:rPr>
          <w:rStyle w:val="eop"/>
          <w:rFonts w:ascii="Calibri" w:eastAsiaTheme="majorEastAsia" w:hAnsi="Calibri" w:cs="Calibri"/>
        </w:rPr>
        <w:t> </w:t>
      </w:r>
    </w:p>
    <w:p w14:paraId="750C40F8" w14:textId="77777777" w:rsidR="00222C0F" w:rsidRDefault="00222C0F" w:rsidP="00222C0F">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ECTs with examples of good practice</w:t>
      </w:r>
      <w:r>
        <w:rPr>
          <w:rStyle w:val="eop"/>
          <w:rFonts w:ascii="Calibri" w:eastAsiaTheme="majorEastAsia" w:hAnsi="Calibri" w:cs="Calibri"/>
        </w:rPr>
        <w:t> </w:t>
      </w:r>
    </w:p>
    <w:p w14:paraId="72255EC1" w14:textId="77777777" w:rsidR="00222C0F" w:rsidRDefault="00222C0F" w:rsidP="00222C0F">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form good relationships with all members of the school community and stakeholders</w:t>
      </w:r>
      <w:r>
        <w:rPr>
          <w:rStyle w:val="eop"/>
          <w:rFonts w:ascii="Calibri" w:eastAsiaTheme="majorEastAsia" w:hAnsi="Calibri" w:cs="Calibri"/>
        </w:rPr>
        <w:t> </w:t>
      </w:r>
    </w:p>
    <w:p w14:paraId="1EB10B46" w14:textId="77777777" w:rsidR="00222C0F" w:rsidRDefault="00222C0F" w:rsidP="00222C0F">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become aware of the school’s role in the local community</w:t>
      </w:r>
      <w:r>
        <w:rPr>
          <w:rStyle w:val="eop"/>
          <w:rFonts w:ascii="Calibri" w:eastAsiaTheme="majorEastAsia" w:hAnsi="Calibri" w:cs="Calibri"/>
        </w:rPr>
        <w:t> </w:t>
      </w:r>
    </w:p>
    <w:p w14:paraId="090A4B55" w14:textId="77777777" w:rsidR="00222C0F" w:rsidRDefault="00222C0F" w:rsidP="00222C0F">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encourage and enable reflection on an ECTs own and observed practice</w:t>
      </w:r>
      <w:r>
        <w:rPr>
          <w:rStyle w:val="eop"/>
          <w:rFonts w:ascii="Calibri" w:eastAsiaTheme="majorEastAsia" w:hAnsi="Calibri" w:cs="Calibri"/>
        </w:rPr>
        <w:t> </w:t>
      </w:r>
    </w:p>
    <w:p w14:paraId="6AF8B99E" w14:textId="77777777" w:rsidR="00222C0F" w:rsidRDefault="00222C0F" w:rsidP="00222C0F">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opportunities to recognise and celebrate good practice</w:t>
      </w:r>
      <w:r>
        <w:rPr>
          <w:rStyle w:val="eop"/>
          <w:rFonts w:ascii="Calibri" w:eastAsiaTheme="majorEastAsia" w:hAnsi="Calibri" w:cs="Calibri"/>
        </w:rPr>
        <w:t> </w:t>
      </w:r>
    </w:p>
    <w:p w14:paraId="62F5D603" w14:textId="77777777" w:rsidR="00222C0F" w:rsidRDefault="00222C0F" w:rsidP="00222C0F">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opportunities to identify areas for development</w:t>
      </w:r>
      <w:r>
        <w:rPr>
          <w:rStyle w:val="eop"/>
          <w:rFonts w:ascii="Calibri" w:eastAsiaTheme="majorEastAsia" w:hAnsi="Calibri" w:cs="Calibri"/>
        </w:rPr>
        <w:t> </w:t>
      </w:r>
    </w:p>
    <w:p w14:paraId="0C20156C" w14:textId="77777777" w:rsidR="00222C0F" w:rsidRDefault="00222C0F" w:rsidP="00222C0F">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to develop an overview of a teacher’s role and responsibilities </w:t>
      </w:r>
      <w:r>
        <w:rPr>
          <w:rStyle w:val="eop"/>
          <w:rFonts w:ascii="Calibri" w:eastAsiaTheme="majorEastAsia" w:hAnsi="Calibri" w:cs="Calibri"/>
        </w:rPr>
        <w:t> </w:t>
      </w:r>
    </w:p>
    <w:p w14:paraId="45E28C07" w14:textId="77777777" w:rsidR="00222C0F" w:rsidRDefault="00222C0F" w:rsidP="00222C0F">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a foundation for longer-term professional development</w:t>
      </w:r>
      <w:r>
        <w:rPr>
          <w:rStyle w:val="eop"/>
          <w:rFonts w:ascii="Calibri" w:eastAsiaTheme="majorEastAsia" w:hAnsi="Calibri" w:cs="Calibri"/>
        </w:rPr>
        <w:t> </w:t>
      </w:r>
    </w:p>
    <w:p w14:paraId="1F22C070" w14:textId="77777777" w:rsidR="00222C0F" w:rsidRDefault="00222C0F" w:rsidP="00222C0F">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regular feedback on practice both verbal and written by an Induction Tutor </w:t>
      </w:r>
      <w:r>
        <w:rPr>
          <w:rStyle w:val="eop"/>
          <w:rFonts w:ascii="Calibri" w:eastAsiaTheme="majorEastAsia" w:hAnsi="Calibri" w:cs="Calibri"/>
        </w:rPr>
        <w:t> </w:t>
      </w:r>
    </w:p>
    <w:p w14:paraId="133D3EA4" w14:textId="77777777" w:rsidR="00222C0F" w:rsidRDefault="00222C0F" w:rsidP="00222C0F">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perform satisfactorily against the Teachers’ Standards.</w:t>
      </w:r>
      <w:r>
        <w:rPr>
          <w:rStyle w:val="eop"/>
          <w:rFonts w:ascii="Calibri" w:eastAsiaTheme="majorEastAsia" w:hAnsi="Calibri" w:cs="Calibri"/>
        </w:rPr>
        <w:t> </w:t>
      </w:r>
    </w:p>
    <w:p w14:paraId="2F98C4A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The whole staff will be kept informed of the school Induction Policy and will be encouraged to participate, wherever possible, in its implementation and development. </w:t>
      </w:r>
      <w:r>
        <w:rPr>
          <w:rStyle w:val="eop"/>
          <w:rFonts w:ascii="Calibri" w:eastAsiaTheme="majorEastAsia" w:hAnsi="Calibri" w:cs="Calibri"/>
        </w:rPr>
        <w:t> </w:t>
      </w:r>
    </w:p>
    <w:p w14:paraId="12BD723F"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This policy reflects a structured whole school approach to teacher induction and recognises that the quality and commitment of the people who supervise the induction is a crucial factor in its continued success. Our school is fully committed to the training and development of the Induction Tutor and Mentor in addition to the ECT.</w:t>
      </w:r>
      <w:r>
        <w:rPr>
          <w:rStyle w:val="eop"/>
          <w:rFonts w:ascii="Calibri" w:eastAsiaTheme="majorEastAsia" w:hAnsi="Calibri" w:cs="Calibri"/>
        </w:rPr>
        <w:t> </w:t>
      </w:r>
    </w:p>
    <w:p w14:paraId="08D48F1E"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8"/>
          <w:szCs w:val="28"/>
        </w:rPr>
        <w:t> </w:t>
      </w:r>
    </w:p>
    <w:p w14:paraId="5D83162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t>Roles and Responsibilities</w:t>
      </w:r>
      <w:r>
        <w:rPr>
          <w:rStyle w:val="eop"/>
          <w:rFonts w:ascii="Calibri" w:eastAsiaTheme="majorEastAsia" w:hAnsi="Calibri" w:cs="Calibri"/>
          <w:color w:val="000000"/>
          <w:sz w:val="28"/>
          <w:szCs w:val="28"/>
        </w:rPr>
        <w:t> </w:t>
      </w:r>
    </w:p>
    <w:p w14:paraId="08F61FCE"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The Academy Committee</w:t>
      </w:r>
      <w:r>
        <w:rPr>
          <w:rStyle w:val="eop"/>
          <w:rFonts w:ascii="Calibri" w:eastAsiaTheme="majorEastAsia" w:hAnsi="Calibri" w:cs="Calibri"/>
          <w:color w:val="000000"/>
        </w:rPr>
        <w:t> </w:t>
      </w:r>
    </w:p>
    <w:p w14:paraId="652ECD71"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Academy Committee will be fully aware of the contents of the DfE’s Statutory Guidance on Induction for Early Career Teachers (England) which sets out the school’s responsibility to provide the necessary monitoring, support, and assessments for ECTs. Careful consideration </w:t>
      </w:r>
      <w:r>
        <w:rPr>
          <w:rStyle w:val="normaltextrun"/>
          <w:rFonts w:ascii="Calibri" w:eastAsiaTheme="majorEastAsia" w:hAnsi="Calibri" w:cs="Calibri"/>
          <w:color w:val="000000"/>
        </w:rPr>
        <w:lastRenderedPageBreak/>
        <w:t xml:space="preserve">is given, prior to any decision to appoint an ECT, as to whether the school currently has the capacity to fulfil </w:t>
      </w:r>
      <w:proofErr w:type="gramStart"/>
      <w:r>
        <w:rPr>
          <w:rStyle w:val="normaltextrun"/>
          <w:rFonts w:ascii="Calibri" w:eastAsiaTheme="majorEastAsia" w:hAnsi="Calibri" w:cs="Calibri"/>
          <w:color w:val="000000"/>
        </w:rPr>
        <w:t>all of</w:t>
      </w:r>
      <w:proofErr w:type="gramEnd"/>
      <w:r>
        <w:rPr>
          <w:rStyle w:val="normaltextrun"/>
          <w:rFonts w:ascii="Calibri" w:eastAsiaTheme="majorEastAsia" w:hAnsi="Calibri" w:cs="Calibri"/>
          <w:color w:val="000000"/>
        </w:rPr>
        <w:t xml:space="preserve"> its statutory and non-statutory obligations. The Academy Committee will be </w:t>
      </w:r>
      <w:r>
        <w:rPr>
          <w:rStyle w:val="normaltextrun"/>
          <w:rFonts w:ascii="Calibri" w:eastAsiaTheme="majorEastAsia" w:hAnsi="Calibri" w:cs="Calibri"/>
        </w:rPr>
        <w:t>kept aware and up to date about induction arrangements and the progress made by ECTs during induction</w:t>
      </w:r>
      <w:r>
        <w:rPr>
          <w:rStyle w:val="normaltextrun"/>
          <w:rFonts w:ascii="Calibri" w:eastAsiaTheme="majorEastAsia" w:hAnsi="Calibri" w:cs="Calibri"/>
          <w:color w:val="000000"/>
        </w:rPr>
        <w:t>.</w:t>
      </w:r>
      <w:r>
        <w:rPr>
          <w:rStyle w:val="eop"/>
          <w:rFonts w:ascii="Calibri" w:eastAsiaTheme="majorEastAsia" w:hAnsi="Calibri" w:cs="Calibri"/>
          <w:color w:val="000000"/>
        </w:rPr>
        <w:t> </w:t>
      </w:r>
    </w:p>
    <w:p w14:paraId="4F8C5D50"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school’s Induction Leader </w:t>
      </w:r>
      <w:proofErr w:type="gramStart"/>
      <w:r>
        <w:rPr>
          <w:rStyle w:val="normaltextrun"/>
          <w:rFonts w:ascii="Calibri" w:eastAsiaTheme="majorEastAsia" w:hAnsi="Calibri" w:cs="Calibri"/>
          <w:color w:val="000000"/>
        </w:rPr>
        <w:t>is:</w:t>
      </w:r>
      <w:proofErr w:type="gramEnd"/>
      <w:r>
        <w:rPr>
          <w:rStyle w:val="normaltextrun"/>
          <w:rFonts w:ascii="Calibri" w:eastAsiaTheme="majorEastAsia" w:hAnsi="Calibri" w:cs="Calibri"/>
          <w:color w:val="000000"/>
        </w:rPr>
        <w:t xml:space="preserve"> Claire Everton</w:t>
      </w:r>
      <w:r>
        <w:rPr>
          <w:rStyle w:val="eop"/>
          <w:rFonts w:ascii="Calibri" w:eastAsiaTheme="majorEastAsia" w:hAnsi="Calibri" w:cs="Calibri"/>
          <w:color w:val="000000"/>
        </w:rPr>
        <w:t> </w:t>
      </w:r>
    </w:p>
    <w:p w14:paraId="56E4AA2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school’s Induction Tutor </w:t>
      </w:r>
      <w:proofErr w:type="gramStart"/>
      <w:r>
        <w:rPr>
          <w:rStyle w:val="normaltextrun"/>
          <w:rFonts w:ascii="Calibri" w:eastAsiaTheme="majorEastAsia" w:hAnsi="Calibri" w:cs="Calibri"/>
          <w:color w:val="000000"/>
        </w:rPr>
        <w:t>is:</w:t>
      </w:r>
      <w:proofErr w:type="gramEnd"/>
      <w:r>
        <w:rPr>
          <w:rStyle w:val="normaltextrun"/>
          <w:rFonts w:ascii="Calibri" w:eastAsiaTheme="majorEastAsia" w:hAnsi="Calibri" w:cs="Calibri"/>
          <w:color w:val="000000"/>
        </w:rPr>
        <w:t xml:space="preserve"> Erica Brown</w:t>
      </w:r>
      <w:r>
        <w:rPr>
          <w:rStyle w:val="eop"/>
          <w:rFonts w:ascii="Calibri" w:eastAsiaTheme="majorEastAsia" w:hAnsi="Calibri" w:cs="Calibri"/>
          <w:color w:val="000000"/>
        </w:rPr>
        <w:t> </w:t>
      </w:r>
    </w:p>
    <w:p w14:paraId="1D6100E0"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The Academy Committee member with responsibility for ECTs is: To be confirmed</w:t>
      </w:r>
      <w:r>
        <w:rPr>
          <w:rStyle w:val="eop"/>
          <w:rFonts w:ascii="Calibri" w:eastAsiaTheme="majorEastAsia" w:hAnsi="Calibri" w:cs="Calibri"/>
          <w:color w:val="000000"/>
        </w:rPr>
        <w:t> </w:t>
      </w:r>
    </w:p>
    <w:p w14:paraId="2D6B4F44"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08CCBEE5"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 xml:space="preserve">The </w:t>
      </w:r>
      <w:proofErr w:type="gramStart"/>
      <w:r>
        <w:rPr>
          <w:rStyle w:val="normaltextrun"/>
          <w:rFonts w:ascii="Calibri" w:eastAsiaTheme="majorEastAsia" w:hAnsi="Calibri" w:cs="Calibri"/>
          <w:b/>
          <w:bCs/>
          <w:color w:val="000000"/>
        </w:rPr>
        <w:t>Principal</w:t>
      </w:r>
      <w:proofErr w:type="gramEnd"/>
      <w:r>
        <w:rPr>
          <w:rStyle w:val="eop"/>
          <w:rFonts w:ascii="Calibri" w:eastAsiaTheme="majorEastAsia" w:hAnsi="Calibri" w:cs="Calibri"/>
          <w:color w:val="000000"/>
        </w:rPr>
        <w:t> </w:t>
      </w:r>
    </w:p>
    <w:p w14:paraId="31C40CD7"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The Principal at the Richard Barnes Academy plays a significant and leading role in the process of inducting new colleagues to the profession. While responsibility for the implementation of the Induction Programme has been delegated to an Induction Tutor, the Principal will also observe each ECT during the year. Statutory responsibilities are:</w:t>
      </w:r>
      <w:r>
        <w:rPr>
          <w:rStyle w:val="eop"/>
          <w:rFonts w:ascii="Calibri" w:eastAsiaTheme="majorEastAsia" w:hAnsi="Calibri" w:cs="Calibri"/>
          <w:color w:val="000000"/>
        </w:rPr>
        <w:t> </w:t>
      </w:r>
    </w:p>
    <w:p w14:paraId="492D700B" w14:textId="77777777" w:rsidR="00222C0F" w:rsidRDefault="00222C0F" w:rsidP="00222C0F">
      <w:pPr>
        <w:pStyle w:val="paragraph"/>
        <w:numPr>
          <w:ilvl w:val="0"/>
          <w:numId w:val="1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 xml:space="preserve">ensuring an appropriate induction programme is set up (including a 10% release time in Year One and 5% in Year Two of </w:t>
      </w:r>
      <w:proofErr w:type="gramStart"/>
      <w:r>
        <w:rPr>
          <w:rStyle w:val="normaltextrun"/>
          <w:rFonts w:ascii="Calibri" w:eastAsiaTheme="majorEastAsia" w:hAnsi="Calibri" w:cs="Calibri"/>
        </w:rPr>
        <w:t>induction;</w:t>
      </w:r>
      <w:proofErr w:type="gramEnd"/>
      <w:r>
        <w:rPr>
          <w:rStyle w:val="eop"/>
          <w:rFonts w:ascii="Calibri" w:eastAsiaTheme="majorEastAsia" w:hAnsi="Calibri" w:cs="Calibri"/>
        </w:rPr>
        <w:t> </w:t>
      </w:r>
    </w:p>
    <w:p w14:paraId="6F302AF6" w14:textId="77777777" w:rsidR="00222C0F" w:rsidRDefault="00222C0F" w:rsidP="00222C0F">
      <w:pPr>
        <w:pStyle w:val="paragraph"/>
        <w:numPr>
          <w:ilvl w:val="0"/>
          <w:numId w:val="20"/>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ensuring the ECT is accessing the ECF either via the FIP, CIP or school-based programme</w:t>
      </w:r>
      <w:r>
        <w:rPr>
          <w:rStyle w:val="eop"/>
          <w:rFonts w:ascii="Calibri" w:eastAsiaTheme="majorEastAsia" w:hAnsi="Calibri" w:cs="Calibri"/>
        </w:rPr>
        <w:t> </w:t>
      </w:r>
    </w:p>
    <w:p w14:paraId="25ED1ED2" w14:textId="77777777" w:rsidR="00222C0F" w:rsidRDefault="00222C0F" w:rsidP="00222C0F">
      <w:pPr>
        <w:pStyle w:val="paragraph"/>
        <w:numPr>
          <w:ilvl w:val="0"/>
          <w:numId w:val="21"/>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 xml:space="preserve">recommending to the Appropriate Body (AB) </w:t>
      </w:r>
      <w:proofErr w:type="gramStart"/>
      <w:r>
        <w:rPr>
          <w:rStyle w:val="normaltextrun"/>
          <w:rFonts w:ascii="Calibri" w:eastAsiaTheme="majorEastAsia" w:hAnsi="Calibri" w:cs="Calibri"/>
        </w:rPr>
        <w:t>whether or not</w:t>
      </w:r>
      <w:proofErr w:type="gramEnd"/>
      <w:r>
        <w:rPr>
          <w:rStyle w:val="normaltextrun"/>
          <w:rFonts w:ascii="Calibri" w:eastAsiaTheme="majorEastAsia" w:hAnsi="Calibri" w:cs="Calibri"/>
        </w:rPr>
        <w:t xml:space="preserve"> an NQT has performed satisfactorily</w:t>
      </w:r>
      <w:r>
        <w:rPr>
          <w:rStyle w:val="normaltextrun"/>
          <w:rFonts w:ascii="Calibri" w:eastAsiaTheme="majorEastAsia" w:hAnsi="Calibri" w:cs="Calibri"/>
          <w:b/>
          <w:bCs/>
        </w:rPr>
        <w:t xml:space="preserve"> </w:t>
      </w:r>
      <w:r>
        <w:rPr>
          <w:rStyle w:val="normaltextrun"/>
          <w:rFonts w:ascii="Calibri" w:eastAsiaTheme="majorEastAsia" w:hAnsi="Calibri" w:cs="Calibri"/>
        </w:rPr>
        <w:t>against the Teachers’ Standards for the completion of induction (ensuring progress reports are submitted to the AB in Terms 1, 2, 4, and 5 and assessment reports at the end of Terms 3 and 6).</w:t>
      </w:r>
      <w:r>
        <w:rPr>
          <w:rStyle w:val="eop"/>
          <w:rFonts w:ascii="Calibri" w:eastAsiaTheme="majorEastAsia" w:hAnsi="Calibri" w:cs="Calibri"/>
        </w:rPr>
        <w:t> </w:t>
      </w:r>
    </w:p>
    <w:p w14:paraId="14C43715" w14:textId="77777777" w:rsidR="00222C0F" w:rsidRDefault="00222C0F" w:rsidP="00222C0F">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eastAsiaTheme="majorEastAsia" w:hAnsi="Calibri" w:cs="Calibri"/>
        </w:rPr>
        <w:t> </w:t>
      </w:r>
    </w:p>
    <w:p w14:paraId="4681DD78"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While the Principal may or may not delegate these responsibilities, many of the associated tasks will be carried out by the Induction Tutor. In addition to the statutory requirements, the </w:t>
      </w:r>
      <w:proofErr w:type="gramStart"/>
      <w:r>
        <w:rPr>
          <w:rStyle w:val="normaltextrun"/>
          <w:rFonts w:ascii="Calibri" w:eastAsiaTheme="majorEastAsia" w:hAnsi="Calibri" w:cs="Calibri"/>
          <w:color w:val="000000"/>
        </w:rPr>
        <w:t>Principal</w:t>
      </w:r>
      <w:proofErr w:type="gramEnd"/>
      <w:r>
        <w:rPr>
          <w:rStyle w:val="normaltextrun"/>
          <w:rFonts w:ascii="Calibri" w:eastAsiaTheme="majorEastAsia" w:hAnsi="Calibri" w:cs="Calibri"/>
          <w:color w:val="000000"/>
        </w:rPr>
        <w:t xml:space="preserve"> will:</w:t>
      </w:r>
      <w:r>
        <w:rPr>
          <w:rStyle w:val="eop"/>
          <w:rFonts w:ascii="Calibri" w:eastAsiaTheme="majorEastAsia" w:hAnsi="Calibri" w:cs="Calibri"/>
          <w:color w:val="000000"/>
        </w:rPr>
        <w:t> </w:t>
      </w:r>
    </w:p>
    <w:p w14:paraId="7F1A3150" w14:textId="77777777" w:rsidR="00222C0F" w:rsidRDefault="00222C0F" w:rsidP="00222C0F">
      <w:pPr>
        <w:pStyle w:val="paragraph"/>
        <w:numPr>
          <w:ilvl w:val="0"/>
          <w:numId w:val="22"/>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observe and give written warnings to an ECT at risk of failing to perform satisfactorily</w:t>
      </w:r>
      <w:r>
        <w:rPr>
          <w:rStyle w:val="normaltextrun"/>
          <w:rFonts w:ascii="Calibri" w:eastAsiaTheme="majorEastAsia" w:hAnsi="Calibri" w:cs="Calibri"/>
          <w:b/>
          <w:bCs/>
        </w:rPr>
        <w:t xml:space="preserve"> </w:t>
      </w:r>
      <w:r>
        <w:rPr>
          <w:rStyle w:val="normaltextrun"/>
          <w:rFonts w:ascii="Calibri" w:eastAsiaTheme="majorEastAsia" w:hAnsi="Calibri" w:cs="Calibri"/>
        </w:rPr>
        <w:t>against the Teachers’ Standards whilst informing the Appropriate Body immediately</w:t>
      </w:r>
      <w:r>
        <w:rPr>
          <w:rStyle w:val="eop"/>
          <w:rFonts w:ascii="Calibri" w:eastAsiaTheme="majorEastAsia" w:hAnsi="Calibri" w:cs="Calibri"/>
        </w:rPr>
        <w:t> </w:t>
      </w:r>
    </w:p>
    <w:p w14:paraId="2AE2B968" w14:textId="77777777" w:rsidR="00222C0F" w:rsidRDefault="00222C0F" w:rsidP="00222C0F">
      <w:pPr>
        <w:pStyle w:val="paragraph"/>
        <w:numPr>
          <w:ilvl w:val="0"/>
          <w:numId w:val="23"/>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keep the Academy Committee aware and up to date about induction arrangements and the results of formal assessment meetings</w:t>
      </w:r>
      <w:r>
        <w:rPr>
          <w:rStyle w:val="eop"/>
          <w:rFonts w:ascii="Calibri" w:eastAsiaTheme="majorEastAsia" w:hAnsi="Calibri" w:cs="Calibri"/>
        </w:rPr>
        <w:t> </w:t>
      </w:r>
    </w:p>
    <w:p w14:paraId="56EFA19F"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42183E9B"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Induction Tutor</w:t>
      </w:r>
      <w:r>
        <w:rPr>
          <w:rStyle w:val="eop"/>
          <w:rFonts w:ascii="Calibri" w:eastAsiaTheme="majorEastAsia" w:hAnsi="Calibri" w:cs="Calibri"/>
          <w:sz w:val="28"/>
          <w:szCs w:val="28"/>
        </w:rPr>
        <w:t> </w:t>
      </w:r>
    </w:p>
    <w:p w14:paraId="3726A517"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The principal requirement for the ECT Induction Tutor is to be responsible for the overall management of initiating ECTs into the teaching profession and into our school’s systems and structures.  It entails not only a co-ordination </w:t>
      </w:r>
      <w:proofErr w:type="gramStart"/>
      <w:r>
        <w:rPr>
          <w:rStyle w:val="normaltextrun"/>
          <w:rFonts w:ascii="Calibri" w:eastAsiaTheme="majorEastAsia" w:hAnsi="Calibri" w:cs="Calibri"/>
        </w:rPr>
        <w:t>role, but</w:t>
      </w:r>
      <w:proofErr w:type="gramEnd"/>
      <w:r>
        <w:rPr>
          <w:rStyle w:val="normaltextrun"/>
          <w:rFonts w:ascii="Calibri" w:eastAsiaTheme="majorEastAsia" w:hAnsi="Calibri" w:cs="Calibri"/>
        </w:rPr>
        <w:t xml:space="preserve"> also keeping records of activities and monitoring the quality assurance of provision.  It embraces various tasks, such as organising access to the ECF, opportunities to participate in additional support, e.g., Professional Study Groups, providing support and guidance and the rigorous but fair assessment of ECT performance. It is the role of the Induction Tutor to ensure all Mentors are adequately trained </w:t>
      </w:r>
      <w:proofErr w:type="gramStart"/>
      <w:r>
        <w:rPr>
          <w:rStyle w:val="normaltextrun"/>
          <w:rFonts w:ascii="Calibri" w:eastAsiaTheme="majorEastAsia" w:hAnsi="Calibri" w:cs="Calibri"/>
        </w:rPr>
        <w:t>in order to</w:t>
      </w:r>
      <w:proofErr w:type="gramEnd"/>
      <w:r>
        <w:rPr>
          <w:rStyle w:val="normaltextrun"/>
          <w:rFonts w:ascii="Calibri" w:eastAsiaTheme="majorEastAsia" w:hAnsi="Calibri" w:cs="Calibri"/>
        </w:rPr>
        <w:t xml:space="preserve"> fulfil their role to a high standard, to quality assure the work of Mentors and to line manage the Mentors. The Induction Tutor also has responsibility for completing the progress reviews and assessment reports for all ECTs during induction.</w:t>
      </w:r>
      <w:r>
        <w:rPr>
          <w:rStyle w:val="eop"/>
          <w:rFonts w:ascii="Calibri" w:eastAsiaTheme="majorEastAsia" w:hAnsi="Calibri" w:cs="Calibri"/>
        </w:rPr>
        <w:t> </w:t>
      </w:r>
    </w:p>
    <w:p w14:paraId="60982298" w14:textId="77777777" w:rsidR="00222C0F" w:rsidRDefault="00222C0F" w:rsidP="00222C0F">
      <w:pPr>
        <w:pStyle w:val="paragraph"/>
        <w:spacing w:before="0" w:beforeAutospacing="0" w:after="0" w:afterAutospacing="0"/>
        <w:textAlignment w:val="baseline"/>
        <w:rPr>
          <w:rFonts w:ascii="Segoe UI" w:hAnsi="Segoe UI" w:cs="Segoe UI"/>
          <w:i/>
          <w:iCs/>
          <w:sz w:val="18"/>
          <w:szCs w:val="18"/>
        </w:rPr>
      </w:pPr>
      <w:r>
        <w:rPr>
          <w:rStyle w:val="normaltextrun"/>
          <w:rFonts w:ascii="Arial" w:eastAsiaTheme="majorEastAsia" w:hAnsi="Arial" w:cs="Arial"/>
          <w:b/>
          <w:bCs/>
          <w:sz w:val="22"/>
          <w:szCs w:val="22"/>
        </w:rPr>
        <w:t>Mentor</w:t>
      </w:r>
      <w:r>
        <w:rPr>
          <w:rStyle w:val="eop"/>
          <w:rFonts w:ascii="Arial" w:eastAsiaTheme="majorEastAsia" w:hAnsi="Arial" w:cs="Arial"/>
          <w:i/>
          <w:iCs/>
          <w:sz w:val="22"/>
          <w:szCs w:val="22"/>
        </w:rPr>
        <w:t> </w:t>
      </w:r>
    </w:p>
    <w:p w14:paraId="477406BF"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In addition to the Induction Tutor (who has the responsibility for the formal assessment of the ECTs) a Mentor is appointed to provide on-going support </w:t>
      </w:r>
      <w:proofErr w:type="gramStart"/>
      <w:r>
        <w:rPr>
          <w:rStyle w:val="normaltextrun"/>
          <w:rFonts w:ascii="Calibri" w:eastAsiaTheme="majorEastAsia" w:hAnsi="Calibri" w:cs="Calibri"/>
        </w:rPr>
        <w:t>on a daily basis</w:t>
      </w:r>
      <w:proofErr w:type="gramEnd"/>
      <w:r>
        <w:rPr>
          <w:rStyle w:val="normaltextrun"/>
          <w:rFonts w:ascii="Calibri" w:eastAsiaTheme="majorEastAsia" w:hAnsi="Calibri" w:cs="Calibri"/>
        </w:rPr>
        <w:t xml:space="preserve">, and to work alongside the ECT as they engage with the ECF.  The Mentor holds regular meetings with the </w:t>
      </w:r>
      <w:r>
        <w:rPr>
          <w:rStyle w:val="normaltextrun"/>
          <w:rFonts w:ascii="Calibri" w:eastAsiaTheme="majorEastAsia" w:hAnsi="Calibri" w:cs="Calibri"/>
        </w:rPr>
        <w:lastRenderedPageBreak/>
        <w:t>ECT and contributes to the judgements about the ECTs performance against the Teachers’ Standards helping to provide the Induction Tutor with evidence to support the progress made by the ECT. It is also the role of the Mentor to support the ECTs engagement in the ECF and ensure this learning impacts positively upon the ECTs progress towards meeting the Teacher Standards.</w:t>
      </w:r>
      <w:r>
        <w:rPr>
          <w:rStyle w:val="eop"/>
          <w:rFonts w:ascii="Calibri" w:eastAsiaTheme="majorEastAsia" w:hAnsi="Calibri" w:cs="Calibri"/>
        </w:rPr>
        <w:t> </w:t>
      </w:r>
    </w:p>
    <w:p w14:paraId="4933ABF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5E584598"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8"/>
          <w:szCs w:val="28"/>
        </w:rPr>
        <w:t>Entitlement</w:t>
      </w:r>
      <w:r>
        <w:rPr>
          <w:rStyle w:val="eop"/>
          <w:rFonts w:ascii="Calibri" w:eastAsiaTheme="majorEastAsia" w:hAnsi="Calibri" w:cs="Calibri"/>
          <w:sz w:val="28"/>
          <w:szCs w:val="28"/>
        </w:rPr>
        <w:t> </w:t>
      </w:r>
    </w:p>
    <w:p w14:paraId="7B72BA85"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The ECT should be proactive in their own career development. However, our induction programme ensures that new teachers are provided with support and monitoring to help them fulfil their professional duties and meet the requirements for satisfactory completion of induction.  It builds on their knowledge, skills, and achievements in relation to standards for the award for qualified teacher status (QTS).  The key aspects of the induction programme for ECTs at RBA are as follows:</w:t>
      </w:r>
      <w:r>
        <w:rPr>
          <w:rStyle w:val="eop"/>
          <w:rFonts w:ascii="Calibri" w:eastAsiaTheme="majorEastAsia" w:hAnsi="Calibri" w:cs="Calibri"/>
        </w:rPr>
        <w:t> </w:t>
      </w:r>
    </w:p>
    <w:p w14:paraId="7B6A8C81" w14:textId="77777777" w:rsidR="00222C0F" w:rsidRDefault="00222C0F" w:rsidP="00222C0F">
      <w:pPr>
        <w:pStyle w:val="paragraph"/>
        <w:numPr>
          <w:ilvl w:val="0"/>
          <w:numId w:val="24"/>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Access to an induction programme that will commence upon appointment and be formally reviewed on a termly basis.  </w:t>
      </w:r>
      <w:r>
        <w:rPr>
          <w:rStyle w:val="eop"/>
          <w:rFonts w:ascii="Calibri" w:eastAsiaTheme="majorEastAsia" w:hAnsi="Calibri" w:cs="Calibri"/>
        </w:rPr>
        <w:t> </w:t>
      </w:r>
    </w:p>
    <w:p w14:paraId="419D2B5F" w14:textId="77777777" w:rsidR="00222C0F" w:rsidRDefault="00222C0F" w:rsidP="00222C0F">
      <w:pPr>
        <w:pStyle w:val="paragraph"/>
        <w:numPr>
          <w:ilvl w:val="0"/>
          <w:numId w:val="25"/>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Structured visits made to the school, prior to taking up appointment, with time to discuss the ECF, developments needed and how they will be assisted in meeting their targets.</w:t>
      </w:r>
      <w:r>
        <w:rPr>
          <w:rStyle w:val="eop"/>
          <w:rFonts w:ascii="Calibri" w:eastAsiaTheme="majorEastAsia" w:hAnsi="Calibri" w:cs="Calibri"/>
        </w:rPr>
        <w:t> </w:t>
      </w:r>
    </w:p>
    <w:p w14:paraId="4595B4C0" w14:textId="77777777" w:rsidR="00222C0F" w:rsidRDefault="00222C0F" w:rsidP="00222C0F">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Help and guidance from an Induction Tutor who is adequately prepared for the role and will co-ordinate the induction programme.</w:t>
      </w:r>
      <w:r>
        <w:rPr>
          <w:rStyle w:val="eop"/>
          <w:rFonts w:ascii="Calibri" w:eastAsiaTheme="majorEastAsia" w:hAnsi="Calibri" w:cs="Calibri"/>
        </w:rPr>
        <w:t> </w:t>
      </w:r>
    </w:p>
    <w:p w14:paraId="1B441068" w14:textId="77777777" w:rsidR="00222C0F" w:rsidRDefault="00222C0F" w:rsidP="00222C0F">
      <w:pPr>
        <w:pStyle w:val="paragraph"/>
        <w:numPr>
          <w:ilvl w:val="0"/>
          <w:numId w:val="27"/>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Regular meetings with Mentors, Senior Managers, Subject Leaders, and other key staff where appropriate.</w:t>
      </w:r>
      <w:r>
        <w:rPr>
          <w:rStyle w:val="eop"/>
          <w:rFonts w:ascii="Calibri" w:eastAsiaTheme="majorEastAsia" w:hAnsi="Calibri" w:cs="Calibri"/>
        </w:rPr>
        <w:t> </w:t>
      </w:r>
    </w:p>
    <w:p w14:paraId="1D36136A" w14:textId="77777777" w:rsidR="00222C0F" w:rsidRDefault="00222C0F" w:rsidP="00222C0F">
      <w:pPr>
        <w:pStyle w:val="paragraph"/>
        <w:numPr>
          <w:ilvl w:val="0"/>
          <w:numId w:val="28"/>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Time and regular opportunities to meet with other ECTs and teachers who have recently completed their induction programme.</w:t>
      </w:r>
      <w:r>
        <w:rPr>
          <w:rStyle w:val="eop"/>
          <w:rFonts w:ascii="Calibri" w:eastAsiaTheme="majorEastAsia" w:hAnsi="Calibri" w:cs="Calibri"/>
        </w:rPr>
        <w:t> </w:t>
      </w:r>
    </w:p>
    <w:p w14:paraId="3E9394BC" w14:textId="77777777" w:rsidR="00222C0F" w:rsidRDefault="00222C0F" w:rsidP="00222C0F">
      <w:pPr>
        <w:pStyle w:val="paragraph"/>
        <w:numPr>
          <w:ilvl w:val="0"/>
          <w:numId w:val="2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Time to observe experienced colleagues teaching both within this school and visiting other settings.</w:t>
      </w:r>
      <w:r>
        <w:rPr>
          <w:rStyle w:val="eop"/>
          <w:rFonts w:ascii="Calibri" w:eastAsiaTheme="majorEastAsia" w:hAnsi="Calibri" w:cs="Calibri"/>
        </w:rPr>
        <w:t> </w:t>
      </w:r>
    </w:p>
    <w:p w14:paraId="3EBDD839" w14:textId="77777777" w:rsidR="00222C0F" w:rsidRDefault="00222C0F" w:rsidP="00222C0F">
      <w:pPr>
        <w:pStyle w:val="paragraph"/>
        <w:numPr>
          <w:ilvl w:val="0"/>
          <w:numId w:val="30"/>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 reduction of 10% of the average teacher’s workload in Year One and 5% in Year Two.  This time is used primarily for participating in the ECF and is in addition to the statutory 10% non-contact time (PPA) already allocated to teachers.</w:t>
      </w:r>
      <w:r>
        <w:rPr>
          <w:rStyle w:val="eop"/>
          <w:rFonts w:ascii="Calibri" w:eastAsiaTheme="majorEastAsia" w:hAnsi="Calibri" w:cs="Calibri"/>
        </w:rPr>
        <w:t> </w:t>
      </w:r>
    </w:p>
    <w:p w14:paraId="141CDA14" w14:textId="77777777" w:rsidR="00222C0F" w:rsidRDefault="00222C0F" w:rsidP="00222C0F">
      <w:pPr>
        <w:pStyle w:val="paragraph"/>
        <w:numPr>
          <w:ilvl w:val="0"/>
          <w:numId w:val="31"/>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Have teaching observed by experience colleagues on a regular basis.</w:t>
      </w:r>
      <w:r>
        <w:rPr>
          <w:rStyle w:val="eop"/>
          <w:rFonts w:ascii="Calibri" w:eastAsiaTheme="majorEastAsia" w:hAnsi="Calibri" w:cs="Calibri"/>
        </w:rPr>
        <w:t> </w:t>
      </w:r>
    </w:p>
    <w:p w14:paraId="31E6DCCD" w14:textId="77777777" w:rsidR="00222C0F" w:rsidRDefault="00222C0F" w:rsidP="00222C0F">
      <w:pPr>
        <w:pStyle w:val="paragraph"/>
        <w:numPr>
          <w:ilvl w:val="0"/>
          <w:numId w:val="32"/>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To receive prompt written as well as oral feedback on the teaching observed and to receive advice with regards to development and target setting as appropriate.</w:t>
      </w:r>
      <w:r>
        <w:rPr>
          <w:rStyle w:val="eop"/>
          <w:rFonts w:ascii="Calibri" w:eastAsiaTheme="majorEastAsia" w:hAnsi="Calibri" w:cs="Calibri"/>
        </w:rPr>
        <w:t> </w:t>
      </w:r>
    </w:p>
    <w:p w14:paraId="00B16C68" w14:textId="77777777" w:rsidR="00222C0F" w:rsidRDefault="00222C0F" w:rsidP="00222C0F">
      <w:pPr>
        <w:pStyle w:val="paragraph"/>
        <w:numPr>
          <w:ilvl w:val="0"/>
          <w:numId w:val="33"/>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Opportunities for further professional development based on agreed targets.</w:t>
      </w:r>
      <w:r>
        <w:rPr>
          <w:rStyle w:val="eop"/>
          <w:rFonts w:ascii="Calibri" w:eastAsiaTheme="majorEastAsia" w:hAnsi="Calibri" w:cs="Calibri"/>
        </w:rPr>
        <w:t> </w:t>
      </w:r>
    </w:p>
    <w:p w14:paraId="319893A5"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4564EDD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4C045E34"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Lesson Observation, and Target Setting</w:t>
      </w:r>
      <w:r>
        <w:rPr>
          <w:rStyle w:val="eop"/>
          <w:rFonts w:ascii="Calibri" w:eastAsiaTheme="majorEastAsia" w:hAnsi="Calibri" w:cs="Calibri"/>
          <w:sz w:val="28"/>
          <w:szCs w:val="28"/>
        </w:rPr>
        <w:t> </w:t>
      </w:r>
    </w:p>
    <w:p w14:paraId="5E9EC901"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These will be followed and completed in accordance with the DfE’s guidelines on ECT induction as also outlined in the ECT Induction Handbook provided by the LA acting as the Appropriate Body. In summary each ECT is observed formally once each half term. Targets are reviewed during each half term at the weekly meetings. In addition, targets and progress towards meeting the Teacher Standards is reviewed formally at the end of each term at a review meeting. The review meeting is where the end of term progress report or formal assessment report is shared with the ECT and the ECT is invited to add their comments to the report before it is submitted to the Appropriate Body (AB). Those in attendance at the end of term review meetings include the ECT, Mentor, and Induction Tutor. The </w:t>
      </w:r>
      <w:proofErr w:type="gramStart"/>
      <w:r>
        <w:rPr>
          <w:rStyle w:val="normaltextrun"/>
          <w:rFonts w:ascii="Calibri" w:eastAsiaTheme="majorEastAsia" w:hAnsi="Calibri" w:cs="Calibri"/>
        </w:rPr>
        <w:t>Principal</w:t>
      </w:r>
      <w:proofErr w:type="gramEnd"/>
      <w:r>
        <w:rPr>
          <w:rStyle w:val="normaltextrun"/>
          <w:rFonts w:ascii="Calibri" w:eastAsiaTheme="majorEastAsia" w:hAnsi="Calibri" w:cs="Calibri"/>
        </w:rPr>
        <w:t xml:space="preserve"> may also attend these meetings. </w:t>
      </w:r>
      <w:r>
        <w:rPr>
          <w:rStyle w:val="eop"/>
          <w:rFonts w:ascii="Calibri" w:eastAsiaTheme="majorEastAsia" w:hAnsi="Calibri" w:cs="Calibri"/>
        </w:rPr>
        <w:t> </w:t>
      </w:r>
    </w:p>
    <w:p w14:paraId="0C921C95"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lastRenderedPageBreak/>
        <w:t> </w:t>
      </w:r>
    </w:p>
    <w:p w14:paraId="5C5F4536"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8"/>
          <w:szCs w:val="28"/>
        </w:rPr>
        <w:t>Assessment &amp; Quality Assurance</w:t>
      </w:r>
      <w:r>
        <w:rPr>
          <w:rStyle w:val="eop"/>
          <w:rFonts w:ascii="Calibri" w:eastAsiaTheme="majorEastAsia" w:hAnsi="Calibri" w:cs="Calibri"/>
          <w:sz w:val="28"/>
          <w:szCs w:val="28"/>
        </w:rPr>
        <w:t> </w:t>
      </w:r>
    </w:p>
    <w:p w14:paraId="4DEF1497"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The assessment of ECTs will be rigorous but also objective:</w:t>
      </w:r>
      <w:r>
        <w:rPr>
          <w:rStyle w:val="eop"/>
          <w:rFonts w:ascii="Calibri" w:eastAsiaTheme="majorEastAsia" w:hAnsi="Calibri" w:cs="Calibri"/>
        </w:rPr>
        <w:t> </w:t>
      </w:r>
    </w:p>
    <w:p w14:paraId="67F5B4E0" w14:textId="77777777" w:rsidR="00222C0F" w:rsidRDefault="00222C0F" w:rsidP="00222C0F">
      <w:pPr>
        <w:pStyle w:val="paragraph"/>
        <w:numPr>
          <w:ilvl w:val="0"/>
          <w:numId w:val="34"/>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The criteria used for formal assessments will be shared and agreed in advance.</w:t>
      </w:r>
      <w:r>
        <w:rPr>
          <w:rStyle w:val="eop"/>
          <w:rFonts w:ascii="Calibri" w:eastAsiaTheme="majorEastAsia" w:hAnsi="Calibri" w:cs="Calibri"/>
        </w:rPr>
        <w:t> </w:t>
      </w:r>
    </w:p>
    <w:p w14:paraId="5828F547" w14:textId="77777777" w:rsidR="00222C0F" w:rsidRDefault="00222C0F" w:rsidP="00222C0F">
      <w:pPr>
        <w:pStyle w:val="paragraph"/>
        <w:numPr>
          <w:ilvl w:val="0"/>
          <w:numId w:val="35"/>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Formative assessment (e.g., lesson observation, target setting, learner progress, book scrutiny) and summative assessment (termly induction reports) will be used.</w:t>
      </w:r>
      <w:r>
        <w:rPr>
          <w:rStyle w:val="eop"/>
          <w:rFonts w:ascii="Calibri" w:eastAsiaTheme="majorEastAsia" w:hAnsi="Calibri" w:cs="Calibri"/>
        </w:rPr>
        <w:t> </w:t>
      </w:r>
    </w:p>
    <w:p w14:paraId="365680F5" w14:textId="77777777" w:rsidR="00222C0F" w:rsidRDefault="00222C0F" w:rsidP="00222C0F">
      <w:pPr>
        <w:pStyle w:val="paragraph"/>
        <w:numPr>
          <w:ilvl w:val="0"/>
          <w:numId w:val="36"/>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 xml:space="preserve">Responsibility for assessment will involve all teachers who have a part in the ECT’s development, </w:t>
      </w:r>
      <w:proofErr w:type="gramStart"/>
      <w:r>
        <w:rPr>
          <w:rStyle w:val="normaltextrun"/>
          <w:rFonts w:ascii="Calibri" w:eastAsiaTheme="majorEastAsia" w:hAnsi="Calibri" w:cs="Calibri"/>
        </w:rPr>
        <w:t>in order to</w:t>
      </w:r>
      <w:proofErr w:type="gramEnd"/>
      <w:r>
        <w:rPr>
          <w:rStyle w:val="normaltextrun"/>
          <w:rFonts w:ascii="Calibri" w:eastAsiaTheme="majorEastAsia" w:hAnsi="Calibri" w:cs="Calibri"/>
        </w:rPr>
        <w:t xml:space="preserve"> gain a reliable overall view.</w:t>
      </w:r>
      <w:r>
        <w:rPr>
          <w:rStyle w:val="eop"/>
          <w:rFonts w:ascii="Calibri" w:eastAsiaTheme="majorEastAsia" w:hAnsi="Calibri" w:cs="Calibri"/>
        </w:rPr>
        <w:t> </w:t>
      </w:r>
    </w:p>
    <w:p w14:paraId="2F9DFA84" w14:textId="77777777" w:rsidR="00222C0F" w:rsidRDefault="00222C0F" w:rsidP="00222C0F">
      <w:pPr>
        <w:pStyle w:val="paragraph"/>
        <w:numPr>
          <w:ilvl w:val="0"/>
          <w:numId w:val="37"/>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Opportunities will be created for ECTs to gain experience and expertise in self-evaluation.</w:t>
      </w:r>
      <w:r>
        <w:rPr>
          <w:rStyle w:val="eop"/>
          <w:rFonts w:ascii="Calibri" w:eastAsiaTheme="majorEastAsia" w:hAnsi="Calibri" w:cs="Calibri"/>
        </w:rPr>
        <w:t> </w:t>
      </w:r>
    </w:p>
    <w:p w14:paraId="5AA066AE" w14:textId="77777777" w:rsidR="00222C0F" w:rsidRDefault="00222C0F" w:rsidP="00222C0F">
      <w:pPr>
        <w:pStyle w:val="paragraph"/>
        <w:numPr>
          <w:ilvl w:val="0"/>
          <w:numId w:val="38"/>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The Induction Tutor will ensure that assessment procedures are consistently applied. </w:t>
      </w:r>
      <w:r>
        <w:rPr>
          <w:rStyle w:val="eop"/>
          <w:rFonts w:ascii="Calibri" w:eastAsiaTheme="majorEastAsia" w:hAnsi="Calibri" w:cs="Calibri"/>
        </w:rPr>
        <w:t> </w:t>
      </w:r>
    </w:p>
    <w:p w14:paraId="568FFB0D" w14:textId="77777777" w:rsidR="00222C0F" w:rsidRDefault="00222C0F" w:rsidP="00222C0F">
      <w:pPr>
        <w:pStyle w:val="paragraph"/>
        <w:numPr>
          <w:ilvl w:val="0"/>
          <w:numId w:val="3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Copies of any records will be passed to the ECT concerned, including a copy of each of the end of term progress / assessment reports. </w:t>
      </w:r>
      <w:r>
        <w:rPr>
          <w:rStyle w:val="eop"/>
          <w:rFonts w:ascii="Calibri" w:eastAsiaTheme="majorEastAsia" w:hAnsi="Calibri" w:cs="Calibri"/>
        </w:rPr>
        <w:t> </w:t>
      </w:r>
    </w:p>
    <w:p w14:paraId="6C9EF364" w14:textId="77777777" w:rsidR="00222C0F" w:rsidRDefault="00222C0F" w:rsidP="00222C0F">
      <w:pPr>
        <w:pStyle w:val="paragraph"/>
        <w:numPr>
          <w:ilvl w:val="0"/>
          <w:numId w:val="40"/>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Assessment reports at the end of Term 3 and 6 will give details of:</w:t>
      </w:r>
      <w:r>
        <w:rPr>
          <w:rStyle w:val="eop"/>
          <w:rFonts w:ascii="Calibri" w:eastAsiaTheme="majorEastAsia" w:hAnsi="Calibri" w:cs="Calibri"/>
        </w:rPr>
        <w:t> </w:t>
      </w:r>
    </w:p>
    <w:p w14:paraId="28EC4315" w14:textId="77777777" w:rsidR="00222C0F" w:rsidRDefault="00222C0F" w:rsidP="00222C0F">
      <w:pPr>
        <w:pStyle w:val="paragraph"/>
        <w:numPr>
          <w:ilvl w:val="0"/>
          <w:numId w:val="41"/>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Areas of strength (linked to the Teacher Standards)</w:t>
      </w:r>
      <w:r>
        <w:rPr>
          <w:rStyle w:val="eop"/>
          <w:rFonts w:ascii="Calibri" w:eastAsiaTheme="majorEastAsia" w:hAnsi="Calibri" w:cs="Calibri"/>
        </w:rPr>
        <w:t> </w:t>
      </w:r>
    </w:p>
    <w:p w14:paraId="0AD64AEF" w14:textId="77777777" w:rsidR="00222C0F" w:rsidRDefault="00222C0F" w:rsidP="00222C0F">
      <w:pPr>
        <w:pStyle w:val="paragraph"/>
        <w:numPr>
          <w:ilvl w:val="0"/>
          <w:numId w:val="42"/>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Areas requiring development (linked to the Teacher Standards)</w:t>
      </w:r>
      <w:r>
        <w:rPr>
          <w:rStyle w:val="eop"/>
          <w:rFonts w:ascii="Calibri" w:eastAsiaTheme="majorEastAsia" w:hAnsi="Calibri" w:cs="Calibri"/>
        </w:rPr>
        <w:t> </w:t>
      </w:r>
    </w:p>
    <w:p w14:paraId="5A055F2E" w14:textId="77777777" w:rsidR="00222C0F" w:rsidRDefault="00222C0F" w:rsidP="00222C0F">
      <w:pPr>
        <w:pStyle w:val="paragraph"/>
        <w:numPr>
          <w:ilvl w:val="0"/>
          <w:numId w:val="43"/>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Evidence used to inform judgements</w:t>
      </w:r>
      <w:r>
        <w:rPr>
          <w:rStyle w:val="eop"/>
          <w:rFonts w:ascii="Calibri" w:eastAsiaTheme="majorEastAsia" w:hAnsi="Calibri" w:cs="Calibri"/>
        </w:rPr>
        <w:t> </w:t>
      </w:r>
    </w:p>
    <w:p w14:paraId="1B2155EF" w14:textId="77777777" w:rsidR="00222C0F" w:rsidRDefault="00222C0F" w:rsidP="00222C0F">
      <w:pPr>
        <w:pStyle w:val="paragraph"/>
        <w:numPr>
          <w:ilvl w:val="0"/>
          <w:numId w:val="44"/>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Targets for the next period of induction (linked to the Teacher Standards)</w:t>
      </w:r>
      <w:r>
        <w:rPr>
          <w:rStyle w:val="eop"/>
          <w:rFonts w:ascii="Calibri" w:eastAsiaTheme="majorEastAsia" w:hAnsi="Calibri" w:cs="Calibri"/>
        </w:rPr>
        <w:t> </w:t>
      </w:r>
    </w:p>
    <w:p w14:paraId="68EA6CB7"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Engagement in the ECF will be reviewed each term. However, this is a programme of CPD to support effective progress towards meeting the Teacher Standards. The ECF is not and will not be used as an assessment tool.</w:t>
      </w:r>
      <w:r>
        <w:rPr>
          <w:rStyle w:val="eop"/>
          <w:rFonts w:ascii="Calibri" w:eastAsiaTheme="majorEastAsia" w:hAnsi="Calibri" w:cs="Calibri"/>
        </w:rPr>
        <w:t> </w:t>
      </w:r>
    </w:p>
    <w:p w14:paraId="04599FD8"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7D55E281"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8"/>
          <w:szCs w:val="28"/>
        </w:rPr>
        <w:t>At Risk Procedures</w:t>
      </w:r>
      <w:r>
        <w:rPr>
          <w:rStyle w:val="eop"/>
          <w:rFonts w:ascii="Calibri" w:eastAsiaTheme="majorEastAsia" w:hAnsi="Calibri" w:cs="Calibri"/>
          <w:sz w:val="28"/>
          <w:szCs w:val="28"/>
        </w:rPr>
        <w:t> </w:t>
      </w:r>
    </w:p>
    <w:p w14:paraId="62DF622D"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If any ECT encounters difficulties in their performance against the Teachers’ Standards, the following procedures will be put into place:</w:t>
      </w:r>
      <w:r>
        <w:rPr>
          <w:rStyle w:val="eop"/>
          <w:rFonts w:ascii="Calibri" w:eastAsiaTheme="majorEastAsia" w:hAnsi="Calibri" w:cs="Calibri"/>
        </w:rPr>
        <w:t> </w:t>
      </w:r>
    </w:p>
    <w:p w14:paraId="2EC6472B" w14:textId="77777777" w:rsidR="00222C0F" w:rsidRDefault="00222C0F" w:rsidP="00222C0F">
      <w:pPr>
        <w:pStyle w:val="paragraph"/>
        <w:numPr>
          <w:ilvl w:val="0"/>
          <w:numId w:val="45"/>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An expectation is established that the support provided will enable any weaknesses to be addressed.</w:t>
      </w:r>
      <w:r>
        <w:rPr>
          <w:rStyle w:val="eop"/>
          <w:rFonts w:ascii="Calibri" w:eastAsiaTheme="majorEastAsia" w:hAnsi="Calibri" w:cs="Calibri"/>
        </w:rPr>
        <w:t> </w:t>
      </w:r>
    </w:p>
    <w:p w14:paraId="07A508E7" w14:textId="77777777" w:rsidR="00222C0F" w:rsidRDefault="00222C0F" w:rsidP="00222C0F">
      <w:pPr>
        <w:pStyle w:val="paragraph"/>
        <w:numPr>
          <w:ilvl w:val="0"/>
          <w:numId w:val="46"/>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Recorded diagnosis of the exact nature of the problem, and advice given on how to redress the problem.</w:t>
      </w:r>
      <w:r>
        <w:rPr>
          <w:rStyle w:val="eop"/>
          <w:rFonts w:ascii="Calibri" w:eastAsiaTheme="majorEastAsia" w:hAnsi="Calibri" w:cs="Calibri"/>
        </w:rPr>
        <w:t> </w:t>
      </w:r>
    </w:p>
    <w:p w14:paraId="615335F2" w14:textId="77777777" w:rsidR="00222C0F" w:rsidRDefault="00222C0F" w:rsidP="00222C0F">
      <w:pPr>
        <w:pStyle w:val="paragraph"/>
        <w:numPr>
          <w:ilvl w:val="0"/>
          <w:numId w:val="47"/>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Agreed, attainable, targets for action with specific and practical steps outlines for securing an improvement in practice.</w:t>
      </w:r>
      <w:r>
        <w:rPr>
          <w:rStyle w:val="eop"/>
          <w:rFonts w:ascii="Calibri" w:eastAsiaTheme="majorEastAsia" w:hAnsi="Calibri" w:cs="Calibri"/>
        </w:rPr>
        <w:t> </w:t>
      </w:r>
    </w:p>
    <w:p w14:paraId="50496F50" w14:textId="77777777" w:rsidR="00222C0F" w:rsidRDefault="00222C0F" w:rsidP="00222C0F">
      <w:pPr>
        <w:pStyle w:val="paragraph"/>
        <w:numPr>
          <w:ilvl w:val="0"/>
          <w:numId w:val="48"/>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 xml:space="preserve">Experienced colleagues will model aspects of good practice so that the ECT can focus attention on </w:t>
      </w:r>
      <w:proofErr w:type="gramStart"/>
      <w:r>
        <w:rPr>
          <w:rStyle w:val="normaltextrun"/>
          <w:rFonts w:ascii="Calibri" w:eastAsiaTheme="majorEastAsia" w:hAnsi="Calibri" w:cs="Calibri"/>
        </w:rPr>
        <w:t>particular areas</w:t>
      </w:r>
      <w:proofErr w:type="gramEnd"/>
      <w:r>
        <w:rPr>
          <w:rStyle w:val="normaltextrun"/>
          <w:rFonts w:ascii="Calibri" w:eastAsiaTheme="majorEastAsia" w:hAnsi="Calibri" w:cs="Calibri"/>
        </w:rPr>
        <w:t xml:space="preserve"> of teaching through observation. </w:t>
      </w:r>
      <w:r>
        <w:rPr>
          <w:rStyle w:val="eop"/>
          <w:rFonts w:ascii="Calibri" w:eastAsiaTheme="majorEastAsia" w:hAnsi="Calibri" w:cs="Calibri"/>
        </w:rPr>
        <w:t> </w:t>
      </w:r>
    </w:p>
    <w:p w14:paraId="2C402735" w14:textId="77777777" w:rsidR="00222C0F" w:rsidRDefault="00222C0F" w:rsidP="00222C0F">
      <w:pPr>
        <w:pStyle w:val="paragraph"/>
        <w:numPr>
          <w:ilvl w:val="0"/>
          <w:numId w:val="4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Early warning of the risk of failure will be given and the school’s concerns communicated to the Appropriate Body without delay (the school will not wait until the end of term when the assessment report is submitted to the LA).</w:t>
      </w:r>
      <w:r>
        <w:rPr>
          <w:rStyle w:val="eop"/>
          <w:rFonts w:ascii="Calibri" w:eastAsiaTheme="majorEastAsia" w:hAnsi="Calibri" w:cs="Calibri"/>
        </w:rPr>
        <w:t> </w:t>
      </w:r>
    </w:p>
    <w:p w14:paraId="342CD93F" w14:textId="77777777" w:rsidR="00222C0F" w:rsidRDefault="00222C0F" w:rsidP="00222C0F">
      <w:pPr>
        <w:pStyle w:val="paragraph"/>
        <w:numPr>
          <w:ilvl w:val="0"/>
          <w:numId w:val="50"/>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Where an ECT has continuing difficulties further support, advice and direction will be given.  Areas of concern will be re-defined and clarified and the necessary improvements required clearly set out.</w:t>
      </w:r>
      <w:r>
        <w:rPr>
          <w:rStyle w:val="eop"/>
          <w:rFonts w:ascii="Arial" w:eastAsiaTheme="majorEastAsia" w:hAnsi="Arial" w:cs="Arial"/>
          <w:sz w:val="22"/>
          <w:szCs w:val="22"/>
        </w:rPr>
        <w:t> </w:t>
      </w:r>
    </w:p>
    <w:p w14:paraId="37971A2F" w14:textId="77777777" w:rsidR="00222C0F" w:rsidRDefault="00222C0F" w:rsidP="00222C0F">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3AD43DD0"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Where necessary, the Principal and LA Appropriate Body ECT Induction Manager will support the Induction Leader and ECT. Such support will take the format of a review of the support plan, observing the ECT in the classroom and planning an appropriate programme to ensure satisfactory completion of induction and that all steps have been taken to improve the </w:t>
      </w:r>
      <w:r>
        <w:rPr>
          <w:rStyle w:val="normaltextrun"/>
          <w:rFonts w:ascii="Calibri" w:eastAsiaTheme="majorEastAsia" w:hAnsi="Calibri" w:cs="Calibri"/>
        </w:rPr>
        <w:lastRenderedPageBreak/>
        <w:t>situation.  The ECT must be made aware of any concerns, at all stages, throughout the induction process.</w:t>
      </w:r>
      <w:r>
        <w:rPr>
          <w:rStyle w:val="eop"/>
          <w:rFonts w:ascii="Calibri" w:eastAsiaTheme="majorEastAsia" w:hAnsi="Calibri" w:cs="Calibri"/>
        </w:rPr>
        <w:t> </w:t>
      </w:r>
    </w:p>
    <w:p w14:paraId="7B542C00"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6728FB3A"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2A3ACA65"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Addressing ECT Concerns</w:t>
      </w:r>
      <w:r>
        <w:rPr>
          <w:rStyle w:val="eop"/>
          <w:rFonts w:ascii="Calibri" w:eastAsiaTheme="majorEastAsia" w:hAnsi="Calibri" w:cs="Calibri"/>
          <w:sz w:val="28"/>
          <w:szCs w:val="28"/>
        </w:rPr>
        <w:t> </w:t>
      </w:r>
    </w:p>
    <w:p w14:paraId="2C7354DE"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F8B89C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If an ECT has any concerns about the induction, mentoring and support programme, these should be raised within the school in the first instance.  Where the school does not resolve them the ECT should raise concerns with the named Appropriate Body contact.  Details are included in The ECT Induction Handbook given to all schools by the AB.</w:t>
      </w:r>
      <w:r>
        <w:rPr>
          <w:rStyle w:val="eop"/>
          <w:rFonts w:ascii="Calibri" w:eastAsiaTheme="majorEastAsia" w:hAnsi="Calibri" w:cs="Calibri"/>
        </w:rPr>
        <w:t> </w:t>
      </w:r>
    </w:p>
    <w:p w14:paraId="0730D1C3"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76EBEA19"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5380AD21"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This policy is based on and follows the guidance and statutory requirements set out in the </w:t>
      </w:r>
      <w:r>
        <w:rPr>
          <w:rStyle w:val="normaltextrun"/>
          <w:rFonts w:ascii="Calibri" w:eastAsiaTheme="majorEastAsia" w:hAnsi="Calibri" w:cs="Calibri"/>
          <w:color w:val="000000"/>
        </w:rPr>
        <w:t>DfE’s statutory guidance for induction and Sections 135A, 135B and 141C(1)(b), of the Education Act 2002 and The Education (Induction Arrangements for School Teachers) (England) Regulations 2012.</w:t>
      </w:r>
      <w:r>
        <w:rPr>
          <w:rStyle w:val="eop"/>
          <w:rFonts w:ascii="Calibri" w:eastAsiaTheme="majorEastAsia" w:hAnsi="Calibri" w:cs="Calibri"/>
          <w:color w:val="000000"/>
        </w:rPr>
        <w:t> </w:t>
      </w:r>
    </w:p>
    <w:p w14:paraId="0A7EA22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hyperlink r:id="rId13" w:tgtFrame="_blank" w:history="1">
        <w:r>
          <w:rPr>
            <w:rStyle w:val="normaltextrun"/>
            <w:rFonts w:ascii="Calibri" w:eastAsiaTheme="majorEastAsia" w:hAnsi="Calibri" w:cs="Calibri"/>
            <w:color w:val="0000FF"/>
            <w:u w:val="single"/>
          </w:rPr>
          <w:t>https://assets.publishing.service.gov.uk/government/uploads/system/uploads/attachment_data/file/972316/Statutory_Induction_Guidance_2021_final__002_____1___1_.pdf</w:t>
        </w:r>
      </w:hyperlink>
      <w:r>
        <w:rPr>
          <w:rStyle w:val="normaltextrun"/>
          <w:rFonts w:ascii="Calibri" w:eastAsiaTheme="majorEastAsia" w:hAnsi="Calibri" w:cs="Calibri"/>
        </w:rPr>
        <w:t> </w:t>
      </w:r>
      <w:r>
        <w:rPr>
          <w:rStyle w:val="eop"/>
          <w:rFonts w:ascii="Calibri" w:eastAsiaTheme="majorEastAsia" w:hAnsi="Calibri" w:cs="Calibri"/>
        </w:rPr>
        <w:t> </w:t>
      </w:r>
    </w:p>
    <w:p w14:paraId="371EAF58"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2F399744"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8"/>
          <w:szCs w:val="28"/>
        </w:rPr>
        <w:t> </w:t>
      </w:r>
    </w:p>
    <w:p w14:paraId="4F6CCC71"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46D640B7" w14:textId="77777777" w:rsidR="00222C0F" w:rsidRPr="00D47FB7" w:rsidRDefault="00222C0F" w:rsidP="00B8611A"/>
    <w:sectPr w:rsidR="00222C0F" w:rsidRPr="00D47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822"/>
    <w:multiLevelType w:val="multilevel"/>
    <w:tmpl w:val="152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F6320"/>
    <w:multiLevelType w:val="multilevel"/>
    <w:tmpl w:val="FA3EB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26697D"/>
    <w:multiLevelType w:val="multilevel"/>
    <w:tmpl w:val="48F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F51F9"/>
    <w:multiLevelType w:val="multilevel"/>
    <w:tmpl w:val="EDA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C21F6E"/>
    <w:multiLevelType w:val="multilevel"/>
    <w:tmpl w:val="DB6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B477F"/>
    <w:multiLevelType w:val="multilevel"/>
    <w:tmpl w:val="4D6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34D8C"/>
    <w:multiLevelType w:val="multilevel"/>
    <w:tmpl w:val="61E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D4537"/>
    <w:multiLevelType w:val="multilevel"/>
    <w:tmpl w:val="121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47114B"/>
    <w:multiLevelType w:val="multilevel"/>
    <w:tmpl w:val="301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9263E"/>
    <w:multiLevelType w:val="multilevel"/>
    <w:tmpl w:val="8C0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573BD2"/>
    <w:multiLevelType w:val="multilevel"/>
    <w:tmpl w:val="706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41563"/>
    <w:multiLevelType w:val="multilevel"/>
    <w:tmpl w:val="6532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96DF9"/>
    <w:multiLevelType w:val="multilevel"/>
    <w:tmpl w:val="7DC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651542"/>
    <w:multiLevelType w:val="multilevel"/>
    <w:tmpl w:val="69A0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87D5A"/>
    <w:multiLevelType w:val="multilevel"/>
    <w:tmpl w:val="7D1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F409D0"/>
    <w:multiLevelType w:val="multilevel"/>
    <w:tmpl w:val="439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2679C9"/>
    <w:multiLevelType w:val="multilevel"/>
    <w:tmpl w:val="F1F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86402"/>
    <w:multiLevelType w:val="multilevel"/>
    <w:tmpl w:val="E8E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34307"/>
    <w:multiLevelType w:val="multilevel"/>
    <w:tmpl w:val="717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783730"/>
    <w:multiLevelType w:val="multilevel"/>
    <w:tmpl w:val="E4E4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F571C"/>
    <w:multiLevelType w:val="multilevel"/>
    <w:tmpl w:val="220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580356"/>
    <w:multiLevelType w:val="multilevel"/>
    <w:tmpl w:val="4E4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677F23"/>
    <w:multiLevelType w:val="multilevel"/>
    <w:tmpl w:val="6C40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0B177F"/>
    <w:multiLevelType w:val="multilevel"/>
    <w:tmpl w:val="2BF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477DA1"/>
    <w:multiLevelType w:val="multilevel"/>
    <w:tmpl w:val="C896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4367C31"/>
    <w:multiLevelType w:val="multilevel"/>
    <w:tmpl w:val="5D2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A158B1"/>
    <w:multiLevelType w:val="multilevel"/>
    <w:tmpl w:val="9E6A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97A56"/>
    <w:multiLevelType w:val="multilevel"/>
    <w:tmpl w:val="2F4CD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9200C"/>
    <w:multiLevelType w:val="multilevel"/>
    <w:tmpl w:val="3822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B653A"/>
    <w:multiLevelType w:val="multilevel"/>
    <w:tmpl w:val="838E7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05C23B5"/>
    <w:multiLevelType w:val="multilevel"/>
    <w:tmpl w:val="091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6914DE"/>
    <w:multiLevelType w:val="multilevel"/>
    <w:tmpl w:val="6F3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A69A2"/>
    <w:multiLevelType w:val="multilevel"/>
    <w:tmpl w:val="8E74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172FF6"/>
    <w:multiLevelType w:val="multilevel"/>
    <w:tmpl w:val="4FBA26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BDD7D58"/>
    <w:multiLevelType w:val="multilevel"/>
    <w:tmpl w:val="F41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196B54"/>
    <w:multiLevelType w:val="multilevel"/>
    <w:tmpl w:val="AA2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FA035D"/>
    <w:multiLevelType w:val="multilevel"/>
    <w:tmpl w:val="56B61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8B04C8"/>
    <w:multiLevelType w:val="multilevel"/>
    <w:tmpl w:val="39A0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9675C67"/>
    <w:multiLevelType w:val="multilevel"/>
    <w:tmpl w:val="499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68626D"/>
    <w:multiLevelType w:val="multilevel"/>
    <w:tmpl w:val="6DB2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6E3018"/>
    <w:multiLevelType w:val="multilevel"/>
    <w:tmpl w:val="A9FA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536DFD"/>
    <w:multiLevelType w:val="multilevel"/>
    <w:tmpl w:val="983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BB1360"/>
    <w:multiLevelType w:val="multilevel"/>
    <w:tmpl w:val="EF10D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166AEE"/>
    <w:multiLevelType w:val="multilevel"/>
    <w:tmpl w:val="0A8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077957">
    <w:abstractNumId w:val="7"/>
  </w:num>
  <w:num w:numId="2" w16cid:durableId="53628651">
    <w:abstractNumId w:val="41"/>
  </w:num>
  <w:num w:numId="3" w16cid:durableId="1803841632">
    <w:abstractNumId w:val="48"/>
  </w:num>
  <w:num w:numId="4" w16cid:durableId="172573254">
    <w:abstractNumId w:val="36"/>
  </w:num>
  <w:num w:numId="5" w16cid:durableId="774985808">
    <w:abstractNumId w:val="42"/>
  </w:num>
  <w:num w:numId="6" w16cid:durableId="1933125105">
    <w:abstractNumId w:val="26"/>
  </w:num>
  <w:num w:numId="7" w16cid:durableId="48000159">
    <w:abstractNumId w:val="25"/>
  </w:num>
  <w:num w:numId="8" w16cid:durableId="1091703183">
    <w:abstractNumId w:val="23"/>
  </w:num>
  <w:num w:numId="9" w16cid:durableId="1180850108">
    <w:abstractNumId w:val="3"/>
  </w:num>
  <w:num w:numId="10" w16cid:durableId="1481263858">
    <w:abstractNumId w:val="8"/>
  </w:num>
  <w:num w:numId="11" w16cid:durableId="1067993771">
    <w:abstractNumId w:val="19"/>
  </w:num>
  <w:num w:numId="12" w16cid:durableId="325549870">
    <w:abstractNumId w:val="13"/>
  </w:num>
  <w:num w:numId="13" w16cid:durableId="27924064">
    <w:abstractNumId w:val="21"/>
  </w:num>
  <w:num w:numId="14" w16cid:durableId="1412384357">
    <w:abstractNumId w:val="45"/>
  </w:num>
  <w:num w:numId="15" w16cid:durableId="721441116">
    <w:abstractNumId w:val="30"/>
  </w:num>
  <w:num w:numId="16" w16cid:durableId="2035377878">
    <w:abstractNumId w:val="46"/>
  </w:num>
  <w:num w:numId="17" w16cid:durableId="51467745">
    <w:abstractNumId w:val="37"/>
  </w:num>
  <w:num w:numId="18" w16cid:durableId="1642348340">
    <w:abstractNumId w:val="40"/>
  </w:num>
  <w:num w:numId="19" w16cid:durableId="1725913238">
    <w:abstractNumId w:val="28"/>
  </w:num>
  <w:num w:numId="20" w16cid:durableId="260532885">
    <w:abstractNumId w:val="11"/>
  </w:num>
  <w:num w:numId="21" w16cid:durableId="2031253368">
    <w:abstractNumId w:val="12"/>
  </w:num>
  <w:num w:numId="22" w16cid:durableId="1978951715">
    <w:abstractNumId w:val="29"/>
  </w:num>
  <w:num w:numId="23" w16cid:durableId="212892545">
    <w:abstractNumId w:val="39"/>
  </w:num>
  <w:num w:numId="24" w16cid:durableId="2129548081">
    <w:abstractNumId w:val="27"/>
  </w:num>
  <w:num w:numId="25" w16cid:durableId="713963454">
    <w:abstractNumId w:val="10"/>
  </w:num>
  <w:num w:numId="26" w16cid:durableId="1358854583">
    <w:abstractNumId w:val="33"/>
  </w:num>
  <w:num w:numId="27" w16cid:durableId="314796072">
    <w:abstractNumId w:val="34"/>
  </w:num>
  <w:num w:numId="28" w16cid:durableId="1149204339">
    <w:abstractNumId w:val="20"/>
  </w:num>
  <w:num w:numId="29" w16cid:durableId="985814088">
    <w:abstractNumId w:val="16"/>
  </w:num>
  <w:num w:numId="30" w16cid:durableId="1056048429">
    <w:abstractNumId w:val="24"/>
  </w:num>
  <w:num w:numId="31" w16cid:durableId="1630476056">
    <w:abstractNumId w:val="18"/>
  </w:num>
  <w:num w:numId="32" w16cid:durableId="975833831">
    <w:abstractNumId w:val="0"/>
  </w:num>
  <w:num w:numId="33" w16cid:durableId="12804530">
    <w:abstractNumId w:val="15"/>
  </w:num>
  <w:num w:numId="34" w16cid:durableId="1242056481">
    <w:abstractNumId w:val="43"/>
  </w:num>
  <w:num w:numId="35" w16cid:durableId="479537364">
    <w:abstractNumId w:val="17"/>
  </w:num>
  <w:num w:numId="36" w16cid:durableId="555048886">
    <w:abstractNumId w:val="32"/>
  </w:num>
  <w:num w:numId="37" w16cid:durableId="770584132">
    <w:abstractNumId w:val="44"/>
  </w:num>
  <w:num w:numId="38" w16cid:durableId="1385644967">
    <w:abstractNumId w:val="14"/>
  </w:num>
  <w:num w:numId="39" w16cid:durableId="1014768341">
    <w:abstractNumId w:val="22"/>
  </w:num>
  <w:num w:numId="40" w16cid:durableId="133446571">
    <w:abstractNumId w:val="38"/>
  </w:num>
  <w:num w:numId="41" w16cid:durableId="1853495588">
    <w:abstractNumId w:val="47"/>
  </w:num>
  <w:num w:numId="42" w16cid:durableId="905995746">
    <w:abstractNumId w:val="31"/>
  </w:num>
  <w:num w:numId="43" w16cid:durableId="76751326">
    <w:abstractNumId w:val="1"/>
  </w:num>
  <w:num w:numId="44" w16cid:durableId="354578539">
    <w:abstractNumId w:val="35"/>
  </w:num>
  <w:num w:numId="45" w16cid:durableId="72435811">
    <w:abstractNumId w:val="5"/>
  </w:num>
  <w:num w:numId="46" w16cid:durableId="1970892550">
    <w:abstractNumId w:val="49"/>
  </w:num>
  <w:num w:numId="47" w16cid:durableId="770858971">
    <w:abstractNumId w:val="2"/>
  </w:num>
  <w:num w:numId="48" w16cid:durableId="1421487237">
    <w:abstractNumId w:val="6"/>
  </w:num>
  <w:num w:numId="49" w16cid:durableId="1919897664">
    <w:abstractNumId w:val="4"/>
  </w:num>
  <w:num w:numId="50" w16cid:durableId="168646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5750F"/>
    <w:rsid w:val="000659BA"/>
    <w:rsid w:val="00080FBC"/>
    <w:rsid w:val="000B7117"/>
    <w:rsid w:val="000F490F"/>
    <w:rsid w:val="00141682"/>
    <w:rsid w:val="00143659"/>
    <w:rsid w:val="00152AD1"/>
    <w:rsid w:val="001568CB"/>
    <w:rsid w:val="00183E0C"/>
    <w:rsid w:val="001913FE"/>
    <w:rsid w:val="001979B1"/>
    <w:rsid w:val="001E5297"/>
    <w:rsid w:val="001F2A97"/>
    <w:rsid w:val="001F5BC2"/>
    <w:rsid w:val="00220A4A"/>
    <w:rsid w:val="00222C0F"/>
    <w:rsid w:val="002355A4"/>
    <w:rsid w:val="00243014"/>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631AB5"/>
    <w:rsid w:val="0064153B"/>
    <w:rsid w:val="00642614"/>
    <w:rsid w:val="006479EC"/>
    <w:rsid w:val="006848B2"/>
    <w:rsid w:val="006E1E75"/>
    <w:rsid w:val="00706609"/>
    <w:rsid w:val="00715F16"/>
    <w:rsid w:val="0073495D"/>
    <w:rsid w:val="00740B7B"/>
    <w:rsid w:val="00760071"/>
    <w:rsid w:val="0076175B"/>
    <w:rsid w:val="00795CAD"/>
    <w:rsid w:val="007C76EC"/>
    <w:rsid w:val="008166EE"/>
    <w:rsid w:val="0085642E"/>
    <w:rsid w:val="008570AF"/>
    <w:rsid w:val="008A5548"/>
    <w:rsid w:val="0090774A"/>
    <w:rsid w:val="00951569"/>
    <w:rsid w:val="00983D35"/>
    <w:rsid w:val="00986368"/>
    <w:rsid w:val="009D7829"/>
    <w:rsid w:val="00A65043"/>
    <w:rsid w:val="00A80FD3"/>
    <w:rsid w:val="00A9078D"/>
    <w:rsid w:val="00A95FDC"/>
    <w:rsid w:val="00A97684"/>
    <w:rsid w:val="00AC6B85"/>
    <w:rsid w:val="00AE307A"/>
    <w:rsid w:val="00AF2B84"/>
    <w:rsid w:val="00B64034"/>
    <w:rsid w:val="00B844BF"/>
    <w:rsid w:val="00B8611A"/>
    <w:rsid w:val="00BB5052"/>
    <w:rsid w:val="00BC1F5E"/>
    <w:rsid w:val="00BF42FE"/>
    <w:rsid w:val="00C06AF7"/>
    <w:rsid w:val="00C06E4D"/>
    <w:rsid w:val="00C11B6D"/>
    <w:rsid w:val="00C34C4F"/>
    <w:rsid w:val="00C45A76"/>
    <w:rsid w:val="00C61881"/>
    <w:rsid w:val="00C71A8D"/>
    <w:rsid w:val="00C9542E"/>
    <w:rsid w:val="00CA128F"/>
    <w:rsid w:val="00CB1C1E"/>
    <w:rsid w:val="00CC62B1"/>
    <w:rsid w:val="00CD7B50"/>
    <w:rsid w:val="00CF477A"/>
    <w:rsid w:val="00D04300"/>
    <w:rsid w:val="00D07399"/>
    <w:rsid w:val="00D13792"/>
    <w:rsid w:val="00D47FB7"/>
    <w:rsid w:val="00D61EF3"/>
    <w:rsid w:val="00D92058"/>
    <w:rsid w:val="00DB7F54"/>
    <w:rsid w:val="00DC6C7E"/>
    <w:rsid w:val="00DC7457"/>
    <w:rsid w:val="00E076CB"/>
    <w:rsid w:val="00E1028B"/>
    <w:rsid w:val="00E23464"/>
    <w:rsid w:val="00E24FA8"/>
    <w:rsid w:val="00E67CCF"/>
    <w:rsid w:val="00E97ABF"/>
    <w:rsid w:val="00EB59E3"/>
    <w:rsid w:val="00EC1117"/>
    <w:rsid w:val="00EC4E9D"/>
    <w:rsid w:val="00F274F4"/>
    <w:rsid w:val="00F35DB9"/>
    <w:rsid w:val="00F822FE"/>
    <w:rsid w:val="00F86C0B"/>
    <w:rsid w:val="00FA414D"/>
    <w:rsid w:val="00FB56F7"/>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3"/>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3"/>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 w:type="paragraph" w:customStyle="1" w:styleId="paragraph">
    <w:name w:val="paragraph"/>
    <w:basedOn w:val="Normal"/>
    <w:rsid w:val="00222C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C0F"/>
  </w:style>
  <w:style w:type="character" w:customStyle="1" w:styleId="eop">
    <w:name w:val="eop"/>
    <w:basedOn w:val="DefaultParagraphFont"/>
    <w:rsid w:val="0022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14506">
      <w:bodyDiv w:val="1"/>
      <w:marLeft w:val="0"/>
      <w:marRight w:val="0"/>
      <w:marTop w:val="0"/>
      <w:marBottom w:val="0"/>
      <w:divBdr>
        <w:top w:val="none" w:sz="0" w:space="0" w:color="auto"/>
        <w:left w:val="none" w:sz="0" w:space="0" w:color="auto"/>
        <w:bottom w:val="none" w:sz="0" w:space="0" w:color="auto"/>
        <w:right w:val="none" w:sz="0" w:space="0" w:color="auto"/>
      </w:divBdr>
      <w:divsChild>
        <w:div w:id="752776268">
          <w:marLeft w:val="0"/>
          <w:marRight w:val="0"/>
          <w:marTop w:val="0"/>
          <w:marBottom w:val="0"/>
          <w:divBdr>
            <w:top w:val="none" w:sz="0" w:space="0" w:color="auto"/>
            <w:left w:val="none" w:sz="0" w:space="0" w:color="auto"/>
            <w:bottom w:val="none" w:sz="0" w:space="0" w:color="auto"/>
            <w:right w:val="none" w:sz="0" w:space="0" w:color="auto"/>
          </w:divBdr>
        </w:div>
        <w:div w:id="1056271137">
          <w:marLeft w:val="0"/>
          <w:marRight w:val="0"/>
          <w:marTop w:val="0"/>
          <w:marBottom w:val="0"/>
          <w:divBdr>
            <w:top w:val="none" w:sz="0" w:space="0" w:color="auto"/>
            <w:left w:val="none" w:sz="0" w:space="0" w:color="auto"/>
            <w:bottom w:val="none" w:sz="0" w:space="0" w:color="auto"/>
            <w:right w:val="none" w:sz="0" w:space="0" w:color="auto"/>
          </w:divBdr>
        </w:div>
        <w:div w:id="1825195131">
          <w:marLeft w:val="0"/>
          <w:marRight w:val="0"/>
          <w:marTop w:val="0"/>
          <w:marBottom w:val="0"/>
          <w:divBdr>
            <w:top w:val="none" w:sz="0" w:space="0" w:color="auto"/>
            <w:left w:val="none" w:sz="0" w:space="0" w:color="auto"/>
            <w:bottom w:val="none" w:sz="0" w:space="0" w:color="auto"/>
            <w:right w:val="none" w:sz="0" w:space="0" w:color="auto"/>
          </w:divBdr>
        </w:div>
        <w:div w:id="2001732108">
          <w:marLeft w:val="0"/>
          <w:marRight w:val="0"/>
          <w:marTop w:val="0"/>
          <w:marBottom w:val="0"/>
          <w:divBdr>
            <w:top w:val="none" w:sz="0" w:space="0" w:color="auto"/>
            <w:left w:val="none" w:sz="0" w:space="0" w:color="auto"/>
            <w:bottom w:val="none" w:sz="0" w:space="0" w:color="auto"/>
            <w:right w:val="none" w:sz="0" w:space="0" w:color="auto"/>
          </w:divBdr>
          <w:divsChild>
            <w:div w:id="743332431">
              <w:marLeft w:val="0"/>
              <w:marRight w:val="0"/>
              <w:marTop w:val="0"/>
              <w:marBottom w:val="0"/>
              <w:divBdr>
                <w:top w:val="none" w:sz="0" w:space="0" w:color="auto"/>
                <w:left w:val="none" w:sz="0" w:space="0" w:color="auto"/>
                <w:bottom w:val="none" w:sz="0" w:space="0" w:color="auto"/>
                <w:right w:val="none" w:sz="0" w:space="0" w:color="auto"/>
              </w:divBdr>
            </w:div>
            <w:div w:id="1019740637">
              <w:marLeft w:val="0"/>
              <w:marRight w:val="0"/>
              <w:marTop w:val="0"/>
              <w:marBottom w:val="0"/>
              <w:divBdr>
                <w:top w:val="none" w:sz="0" w:space="0" w:color="auto"/>
                <w:left w:val="none" w:sz="0" w:space="0" w:color="auto"/>
                <w:bottom w:val="none" w:sz="0" w:space="0" w:color="auto"/>
                <w:right w:val="none" w:sz="0" w:space="0" w:color="auto"/>
              </w:divBdr>
            </w:div>
            <w:div w:id="1973948477">
              <w:marLeft w:val="0"/>
              <w:marRight w:val="0"/>
              <w:marTop w:val="0"/>
              <w:marBottom w:val="0"/>
              <w:divBdr>
                <w:top w:val="none" w:sz="0" w:space="0" w:color="auto"/>
                <w:left w:val="none" w:sz="0" w:space="0" w:color="auto"/>
                <w:bottom w:val="none" w:sz="0" w:space="0" w:color="auto"/>
                <w:right w:val="none" w:sz="0" w:space="0" w:color="auto"/>
              </w:divBdr>
            </w:div>
            <w:div w:id="312026036">
              <w:marLeft w:val="0"/>
              <w:marRight w:val="0"/>
              <w:marTop w:val="0"/>
              <w:marBottom w:val="0"/>
              <w:divBdr>
                <w:top w:val="none" w:sz="0" w:space="0" w:color="auto"/>
                <w:left w:val="none" w:sz="0" w:space="0" w:color="auto"/>
                <w:bottom w:val="none" w:sz="0" w:space="0" w:color="auto"/>
                <w:right w:val="none" w:sz="0" w:space="0" w:color="auto"/>
              </w:divBdr>
            </w:div>
            <w:div w:id="1407453613">
              <w:marLeft w:val="0"/>
              <w:marRight w:val="0"/>
              <w:marTop w:val="0"/>
              <w:marBottom w:val="0"/>
              <w:divBdr>
                <w:top w:val="none" w:sz="0" w:space="0" w:color="auto"/>
                <w:left w:val="none" w:sz="0" w:space="0" w:color="auto"/>
                <w:bottom w:val="none" w:sz="0" w:space="0" w:color="auto"/>
                <w:right w:val="none" w:sz="0" w:space="0" w:color="auto"/>
              </w:divBdr>
            </w:div>
            <w:div w:id="1009064715">
              <w:marLeft w:val="0"/>
              <w:marRight w:val="0"/>
              <w:marTop w:val="0"/>
              <w:marBottom w:val="0"/>
              <w:divBdr>
                <w:top w:val="none" w:sz="0" w:space="0" w:color="auto"/>
                <w:left w:val="none" w:sz="0" w:space="0" w:color="auto"/>
                <w:bottom w:val="none" w:sz="0" w:space="0" w:color="auto"/>
                <w:right w:val="none" w:sz="0" w:space="0" w:color="auto"/>
              </w:divBdr>
            </w:div>
            <w:div w:id="71515775">
              <w:marLeft w:val="0"/>
              <w:marRight w:val="0"/>
              <w:marTop w:val="0"/>
              <w:marBottom w:val="0"/>
              <w:divBdr>
                <w:top w:val="none" w:sz="0" w:space="0" w:color="auto"/>
                <w:left w:val="none" w:sz="0" w:space="0" w:color="auto"/>
                <w:bottom w:val="none" w:sz="0" w:space="0" w:color="auto"/>
                <w:right w:val="none" w:sz="0" w:space="0" w:color="auto"/>
              </w:divBdr>
            </w:div>
            <w:div w:id="2029523003">
              <w:marLeft w:val="0"/>
              <w:marRight w:val="0"/>
              <w:marTop w:val="0"/>
              <w:marBottom w:val="0"/>
              <w:divBdr>
                <w:top w:val="none" w:sz="0" w:space="0" w:color="auto"/>
                <w:left w:val="none" w:sz="0" w:space="0" w:color="auto"/>
                <w:bottom w:val="none" w:sz="0" w:space="0" w:color="auto"/>
                <w:right w:val="none" w:sz="0" w:space="0" w:color="auto"/>
              </w:divBdr>
            </w:div>
            <w:div w:id="1090545445">
              <w:marLeft w:val="0"/>
              <w:marRight w:val="0"/>
              <w:marTop w:val="0"/>
              <w:marBottom w:val="0"/>
              <w:divBdr>
                <w:top w:val="none" w:sz="0" w:space="0" w:color="auto"/>
                <w:left w:val="none" w:sz="0" w:space="0" w:color="auto"/>
                <w:bottom w:val="none" w:sz="0" w:space="0" w:color="auto"/>
                <w:right w:val="none" w:sz="0" w:space="0" w:color="auto"/>
              </w:divBdr>
            </w:div>
            <w:div w:id="1578439866">
              <w:marLeft w:val="0"/>
              <w:marRight w:val="0"/>
              <w:marTop w:val="0"/>
              <w:marBottom w:val="0"/>
              <w:divBdr>
                <w:top w:val="none" w:sz="0" w:space="0" w:color="auto"/>
                <w:left w:val="none" w:sz="0" w:space="0" w:color="auto"/>
                <w:bottom w:val="none" w:sz="0" w:space="0" w:color="auto"/>
                <w:right w:val="none" w:sz="0" w:space="0" w:color="auto"/>
              </w:divBdr>
            </w:div>
            <w:div w:id="226451659">
              <w:marLeft w:val="0"/>
              <w:marRight w:val="0"/>
              <w:marTop w:val="0"/>
              <w:marBottom w:val="0"/>
              <w:divBdr>
                <w:top w:val="none" w:sz="0" w:space="0" w:color="auto"/>
                <w:left w:val="none" w:sz="0" w:space="0" w:color="auto"/>
                <w:bottom w:val="none" w:sz="0" w:space="0" w:color="auto"/>
                <w:right w:val="none" w:sz="0" w:space="0" w:color="auto"/>
              </w:divBdr>
            </w:div>
            <w:div w:id="1266380880">
              <w:marLeft w:val="0"/>
              <w:marRight w:val="0"/>
              <w:marTop w:val="0"/>
              <w:marBottom w:val="0"/>
              <w:divBdr>
                <w:top w:val="none" w:sz="0" w:space="0" w:color="auto"/>
                <w:left w:val="none" w:sz="0" w:space="0" w:color="auto"/>
                <w:bottom w:val="none" w:sz="0" w:space="0" w:color="auto"/>
                <w:right w:val="none" w:sz="0" w:space="0" w:color="auto"/>
              </w:divBdr>
            </w:div>
            <w:div w:id="1840080663">
              <w:marLeft w:val="0"/>
              <w:marRight w:val="0"/>
              <w:marTop w:val="0"/>
              <w:marBottom w:val="0"/>
              <w:divBdr>
                <w:top w:val="none" w:sz="0" w:space="0" w:color="auto"/>
                <w:left w:val="none" w:sz="0" w:space="0" w:color="auto"/>
                <w:bottom w:val="none" w:sz="0" w:space="0" w:color="auto"/>
                <w:right w:val="none" w:sz="0" w:space="0" w:color="auto"/>
              </w:divBdr>
            </w:div>
            <w:div w:id="1974824620">
              <w:marLeft w:val="0"/>
              <w:marRight w:val="0"/>
              <w:marTop w:val="0"/>
              <w:marBottom w:val="0"/>
              <w:divBdr>
                <w:top w:val="none" w:sz="0" w:space="0" w:color="auto"/>
                <w:left w:val="none" w:sz="0" w:space="0" w:color="auto"/>
                <w:bottom w:val="none" w:sz="0" w:space="0" w:color="auto"/>
                <w:right w:val="none" w:sz="0" w:space="0" w:color="auto"/>
              </w:divBdr>
            </w:div>
            <w:div w:id="1747339482">
              <w:marLeft w:val="0"/>
              <w:marRight w:val="0"/>
              <w:marTop w:val="0"/>
              <w:marBottom w:val="0"/>
              <w:divBdr>
                <w:top w:val="none" w:sz="0" w:space="0" w:color="auto"/>
                <w:left w:val="none" w:sz="0" w:space="0" w:color="auto"/>
                <w:bottom w:val="none" w:sz="0" w:space="0" w:color="auto"/>
                <w:right w:val="none" w:sz="0" w:space="0" w:color="auto"/>
              </w:divBdr>
            </w:div>
            <w:div w:id="1746339563">
              <w:marLeft w:val="0"/>
              <w:marRight w:val="0"/>
              <w:marTop w:val="0"/>
              <w:marBottom w:val="0"/>
              <w:divBdr>
                <w:top w:val="none" w:sz="0" w:space="0" w:color="auto"/>
                <w:left w:val="none" w:sz="0" w:space="0" w:color="auto"/>
                <w:bottom w:val="none" w:sz="0" w:space="0" w:color="auto"/>
                <w:right w:val="none" w:sz="0" w:space="0" w:color="auto"/>
              </w:divBdr>
            </w:div>
            <w:div w:id="38365339">
              <w:marLeft w:val="0"/>
              <w:marRight w:val="0"/>
              <w:marTop w:val="0"/>
              <w:marBottom w:val="0"/>
              <w:divBdr>
                <w:top w:val="none" w:sz="0" w:space="0" w:color="auto"/>
                <w:left w:val="none" w:sz="0" w:space="0" w:color="auto"/>
                <w:bottom w:val="none" w:sz="0" w:space="0" w:color="auto"/>
                <w:right w:val="none" w:sz="0" w:space="0" w:color="auto"/>
              </w:divBdr>
            </w:div>
            <w:div w:id="644970944">
              <w:marLeft w:val="0"/>
              <w:marRight w:val="0"/>
              <w:marTop w:val="0"/>
              <w:marBottom w:val="0"/>
              <w:divBdr>
                <w:top w:val="none" w:sz="0" w:space="0" w:color="auto"/>
                <w:left w:val="none" w:sz="0" w:space="0" w:color="auto"/>
                <w:bottom w:val="none" w:sz="0" w:space="0" w:color="auto"/>
                <w:right w:val="none" w:sz="0" w:space="0" w:color="auto"/>
              </w:divBdr>
            </w:div>
            <w:div w:id="1761026395">
              <w:marLeft w:val="0"/>
              <w:marRight w:val="0"/>
              <w:marTop w:val="0"/>
              <w:marBottom w:val="0"/>
              <w:divBdr>
                <w:top w:val="none" w:sz="0" w:space="0" w:color="auto"/>
                <w:left w:val="none" w:sz="0" w:space="0" w:color="auto"/>
                <w:bottom w:val="none" w:sz="0" w:space="0" w:color="auto"/>
                <w:right w:val="none" w:sz="0" w:space="0" w:color="auto"/>
              </w:divBdr>
            </w:div>
            <w:div w:id="586378924">
              <w:marLeft w:val="0"/>
              <w:marRight w:val="0"/>
              <w:marTop w:val="0"/>
              <w:marBottom w:val="0"/>
              <w:divBdr>
                <w:top w:val="none" w:sz="0" w:space="0" w:color="auto"/>
                <w:left w:val="none" w:sz="0" w:space="0" w:color="auto"/>
                <w:bottom w:val="none" w:sz="0" w:space="0" w:color="auto"/>
                <w:right w:val="none" w:sz="0" w:space="0" w:color="auto"/>
              </w:divBdr>
            </w:div>
          </w:divsChild>
        </w:div>
        <w:div w:id="757020475">
          <w:marLeft w:val="0"/>
          <w:marRight w:val="0"/>
          <w:marTop w:val="0"/>
          <w:marBottom w:val="0"/>
          <w:divBdr>
            <w:top w:val="none" w:sz="0" w:space="0" w:color="auto"/>
            <w:left w:val="none" w:sz="0" w:space="0" w:color="auto"/>
            <w:bottom w:val="none" w:sz="0" w:space="0" w:color="auto"/>
            <w:right w:val="none" w:sz="0" w:space="0" w:color="auto"/>
          </w:divBdr>
          <w:divsChild>
            <w:div w:id="499002912">
              <w:marLeft w:val="0"/>
              <w:marRight w:val="0"/>
              <w:marTop w:val="0"/>
              <w:marBottom w:val="0"/>
              <w:divBdr>
                <w:top w:val="none" w:sz="0" w:space="0" w:color="auto"/>
                <w:left w:val="none" w:sz="0" w:space="0" w:color="auto"/>
                <w:bottom w:val="none" w:sz="0" w:space="0" w:color="auto"/>
                <w:right w:val="none" w:sz="0" w:space="0" w:color="auto"/>
              </w:divBdr>
            </w:div>
            <w:div w:id="194998944">
              <w:marLeft w:val="0"/>
              <w:marRight w:val="0"/>
              <w:marTop w:val="0"/>
              <w:marBottom w:val="0"/>
              <w:divBdr>
                <w:top w:val="none" w:sz="0" w:space="0" w:color="auto"/>
                <w:left w:val="none" w:sz="0" w:space="0" w:color="auto"/>
                <w:bottom w:val="none" w:sz="0" w:space="0" w:color="auto"/>
                <w:right w:val="none" w:sz="0" w:space="0" w:color="auto"/>
              </w:divBdr>
            </w:div>
            <w:div w:id="286592890">
              <w:marLeft w:val="0"/>
              <w:marRight w:val="0"/>
              <w:marTop w:val="0"/>
              <w:marBottom w:val="0"/>
              <w:divBdr>
                <w:top w:val="none" w:sz="0" w:space="0" w:color="auto"/>
                <w:left w:val="none" w:sz="0" w:space="0" w:color="auto"/>
                <w:bottom w:val="none" w:sz="0" w:space="0" w:color="auto"/>
                <w:right w:val="none" w:sz="0" w:space="0" w:color="auto"/>
              </w:divBdr>
            </w:div>
            <w:div w:id="969894846">
              <w:marLeft w:val="0"/>
              <w:marRight w:val="0"/>
              <w:marTop w:val="0"/>
              <w:marBottom w:val="0"/>
              <w:divBdr>
                <w:top w:val="none" w:sz="0" w:space="0" w:color="auto"/>
                <w:left w:val="none" w:sz="0" w:space="0" w:color="auto"/>
                <w:bottom w:val="none" w:sz="0" w:space="0" w:color="auto"/>
                <w:right w:val="none" w:sz="0" w:space="0" w:color="auto"/>
              </w:divBdr>
            </w:div>
            <w:div w:id="235943973">
              <w:marLeft w:val="0"/>
              <w:marRight w:val="0"/>
              <w:marTop w:val="0"/>
              <w:marBottom w:val="0"/>
              <w:divBdr>
                <w:top w:val="none" w:sz="0" w:space="0" w:color="auto"/>
                <w:left w:val="none" w:sz="0" w:space="0" w:color="auto"/>
                <w:bottom w:val="none" w:sz="0" w:space="0" w:color="auto"/>
                <w:right w:val="none" w:sz="0" w:space="0" w:color="auto"/>
              </w:divBdr>
            </w:div>
            <w:div w:id="1857574755">
              <w:marLeft w:val="0"/>
              <w:marRight w:val="0"/>
              <w:marTop w:val="0"/>
              <w:marBottom w:val="0"/>
              <w:divBdr>
                <w:top w:val="none" w:sz="0" w:space="0" w:color="auto"/>
                <w:left w:val="none" w:sz="0" w:space="0" w:color="auto"/>
                <w:bottom w:val="none" w:sz="0" w:space="0" w:color="auto"/>
                <w:right w:val="none" w:sz="0" w:space="0" w:color="auto"/>
              </w:divBdr>
            </w:div>
            <w:div w:id="195316913">
              <w:marLeft w:val="0"/>
              <w:marRight w:val="0"/>
              <w:marTop w:val="0"/>
              <w:marBottom w:val="0"/>
              <w:divBdr>
                <w:top w:val="none" w:sz="0" w:space="0" w:color="auto"/>
                <w:left w:val="none" w:sz="0" w:space="0" w:color="auto"/>
                <w:bottom w:val="none" w:sz="0" w:space="0" w:color="auto"/>
                <w:right w:val="none" w:sz="0" w:space="0" w:color="auto"/>
              </w:divBdr>
            </w:div>
            <w:div w:id="811093146">
              <w:marLeft w:val="0"/>
              <w:marRight w:val="0"/>
              <w:marTop w:val="0"/>
              <w:marBottom w:val="0"/>
              <w:divBdr>
                <w:top w:val="none" w:sz="0" w:space="0" w:color="auto"/>
                <w:left w:val="none" w:sz="0" w:space="0" w:color="auto"/>
                <w:bottom w:val="none" w:sz="0" w:space="0" w:color="auto"/>
                <w:right w:val="none" w:sz="0" w:space="0" w:color="auto"/>
              </w:divBdr>
            </w:div>
            <w:div w:id="1304198240">
              <w:marLeft w:val="0"/>
              <w:marRight w:val="0"/>
              <w:marTop w:val="0"/>
              <w:marBottom w:val="0"/>
              <w:divBdr>
                <w:top w:val="none" w:sz="0" w:space="0" w:color="auto"/>
                <w:left w:val="none" w:sz="0" w:space="0" w:color="auto"/>
                <w:bottom w:val="none" w:sz="0" w:space="0" w:color="auto"/>
                <w:right w:val="none" w:sz="0" w:space="0" w:color="auto"/>
              </w:divBdr>
            </w:div>
            <w:div w:id="745958351">
              <w:marLeft w:val="0"/>
              <w:marRight w:val="0"/>
              <w:marTop w:val="0"/>
              <w:marBottom w:val="0"/>
              <w:divBdr>
                <w:top w:val="none" w:sz="0" w:space="0" w:color="auto"/>
                <w:left w:val="none" w:sz="0" w:space="0" w:color="auto"/>
                <w:bottom w:val="none" w:sz="0" w:space="0" w:color="auto"/>
                <w:right w:val="none" w:sz="0" w:space="0" w:color="auto"/>
              </w:divBdr>
            </w:div>
            <w:div w:id="2063602944">
              <w:marLeft w:val="0"/>
              <w:marRight w:val="0"/>
              <w:marTop w:val="0"/>
              <w:marBottom w:val="0"/>
              <w:divBdr>
                <w:top w:val="none" w:sz="0" w:space="0" w:color="auto"/>
                <w:left w:val="none" w:sz="0" w:space="0" w:color="auto"/>
                <w:bottom w:val="none" w:sz="0" w:space="0" w:color="auto"/>
                <w:right w:val="none" w:sz="0" w:space="0" w:color="auto"/>
              </w:divBdr>
            </w:div>
            <w:div w:id="768544657">
              <w:marLeft w:val="0"/>
              <w:marRight w:val="0"/>
              <w:marTop w:val="0"/>
              <w:marBottom w:val="0"/>
              <w:divBdr>
                <w:top w:val="none" w:sz="0" w:space="0" w:color="auto"/>
                <w:left w:val="none" w:sz="0" w:space="0" w:color="auto"/>
                <w:bottom w:val="none" w:sz="0" w:space="0" w:color="auto"/>
                <w:right w:val="none" w:sz="0" w:space="0" w:color="auto"/>
              </w:divBdr>
            </w:div>
            <w:div w:id="1276595921">
              <w:marLeft w:val="0"/>
              <w:marRight w:val="0"/>
              <w:marTop w:val="0"/>
              <w:marBottom w:val="0"/>
              <w:divBdr>
                <w:top w:val="none" w:sz="0" w:space="0" w:color="auto"/>
                <w:left w:val="none" w:sz="0" w:space="0" w:color="auto"/>
                <w:bottom w:val="none" w:sz="0" w:space="0" w:color="auto"/>
                <w:right w:val="none" w:sz="0" w:space="0" w:color="auto"/>
              </w:divBdr>
            </w:div>
            <w:div w:id="1650479572">
              <w:marLeft w:val="0"/>
              <w:marRight w:val="0"/>
              <w:marTop w:val="0"/>
              <w:marBottom w:val="0"/>
              <w:divBdr>
                <w:top w:val="none" w:sz="0" w:space="0" w:color="auto"/>
                <w:left w:val="none" w:sz="0" w:space="0" w:color="auto"/>
                <w:bottom w:val="none" w:sz="0" w:space="0" w:color="auto"/>
                <w:right w:val="none" w:sz="0" w:space="0" w:color="auto"/>
              </w:divBdr>
            </w:div>
            <w:div w:id="1672176554">
              <w:marLeft w:val="0"/>
              <w:marRight w:val="0"/>
              <w:marTop w:val="0"/>
              <w:marBottom w:val="0"/>
              <w:divBdr>
                <w:top w:val="none" w:sz="0" w:space="0" w:color="auto"/>
                <w:left w:val="none" w:sz="0" w:space="0" w:color="auto"/>
                <w:bottom w:val="none" w:sz="0" w:space="0" w:color="auto"/>
                <w:right w:val="none" w:sz="0" w:space="0" w:color="auto"/>
              </w:divBdr>
            </w:div>
            <w:div w:id="611790879">
              <w:marLeft w:val="0"/>
              <w:marRight w:val="0"/>
              <w:marTop w:val="0"/>
              <w:marBottom w:val="0"/>
              <w:divBdr>
                <w:top w:val="none" w:sz="0" w:space="0" w:color="auto"/>
                <w:left w:val="none" w:sz="0" w:space="0" w:color="auto"/>
                <w:bottom w:val="none" w:sz="0" w:space="0" w:color="auto"/>
                <w:right w:val="none" w:sz="0" w:space="0" w:color="auto"/>
              </w:divBdr>
            </w:div>
            <w:div w:id="670913068">
              <w:marLeft w:val="0"/>
              <w:marRight w:val="0"/>
              <w:marTop w:val="0"/>
              <w:marBottom w:val="0"/>
              <w:divBdr>
                <w:top w:val="none" w:sz="0" w:space="0" w:color="auto"/>
                <w:left w:val="none" w:sz="0" w:space="0" w:color="auto"/>
                <w:bottom w:val="none" w:sz="0" w:space="0" w:color="auto"/>
                <w:right w:val="none" w:sz="0" w:space="0" w:color="auto"/>
              </w:divBdr>
            </w:div>
            <w:div w:id="300773094">
              <w:marLeft w:val="0"/>
              <w:marRight w:val="0"/>
              <w:marTop w:val="0"/>
              <w:marBottom w:val="0"/>
              <w:divBdr>
                <w:top w:val="none" w:sz="0" w:space="0" w:color="auto"/>
                <w:left w:val="none" w:sz="0" w:space="0" w:color="auto"/>
                <w:bottom w:val="none" w:sz="0" w:space="0" w:color="auto"/>
                <w:right w:val="none" w:sz="0" w:space="0" w:color="auto"/>
              </w:divBdr>
            </w:div>
            <w:div w:id="499271693">
              <w:marLeft w:val="0"/>
              <w:marRight w:val="0"/>
              <w:marTop w:val="0"/>
              <w:marBottom w:val="0"/>
              <w:divBdr>
                <w:top w:val="none" w:sz="0" w:space="0" w:color="auto"/>
                <w:left w:val="none" w:sz="0" w:space="0" w:color="auto"/>
                <w:bottom w:val="none" w:sz="0" w:space="0" w:color="auto"/>
                <w:right w:val="none" w:sz="0" w:space="0" w:color="auto"/>
              </w:divBdr>
            </w:div>
            <w:div w:id="1181969667">
              <w:marLeft w:val="0"/>
              <w:marRight w:val="0"/>
              <w:marTop w:val="0"/>
              <w:marBottom w:val="0"/>
              <w:divBdr>
                <w:top w:val="none" w:sz="0" w:space="0" w:color="auto"/>
                <w:left w:val="none" w:sz="0" w:space="0" w:color="auto"/>
                <w:bottom w:val="none" w:sz="0" w:space="0" w:color="auto"/>
                <w:right w:val="none" w:sz="0" w:space="0" w:color="auto"/>
              </w:divBdr>
            </w:div>
          </w:divsChild>
        </w:div>
        <w:div w:id="1074815666">
          <w:marLeft w:val="0"/>
          <w:marRight w:val="0"/>
          <w:marTop w:val="0"/>
          <w:marBottom w:val="0"/>
          <w:divBdr>
            <w:top w:val="none" w:sz="0" w:space="0" w:color="auto"/>
            <w:left w:val="none" w:sz="0" w:space="0" w:color="auto"/>
            <w:bottom w:val="none" w:sz="0" w:space="0" w:color="auto"/>
            <w:right w:val="none" w:sz="0" w:space="0" w:color="auto"/>
          </w:divBdr>
          <w:divsChild>
            <w:div w:id="1928806681">
              <w:marLeft w:val="0"/>
              <w:marRight w:val="0"/>
              <w:marTop w:val="0"/>
              <w:marBottom w:val="0"/>
              <w:divBdr>
                <w:top w:val="none" w:sz="0" w:space="0" w:color="auto"/>
                <w:left w:val="none" w:sz="0" w:space="0" w:color="auto"/>
                <w:bottom w:val="none" w:sz="0" w:space="0" w:color="auto"/>
                <w:right w:val="none" w:sz="0" w:space="0" w:color="auto"/>
              </w:divBdr>
            </w:div>
            <w:div w:id="1762330010">
              <w:marLeft w:val="0"/>
              <w:marRight w:val="0"/>
              <w:marTop w:val="0"/>
              <w:marBottom w:val="0"/>
              <w:divBdr>
                <w:top w:val="none" w:sz="0" w:space="0" w:color="auto"/>
                <w:left w:val="none" w:sz="0" w:space="0" w:color="auto"/>
                <w:bottom w:val="none" w:sz="0" w:space="0" w:color="auto"/>
                <w:right w:val="none" w:sz="0" w:space="0" w:color="auto"/>
              </w:divBdr>
            </w:div>
            <w:div w:id="1895308885">
              <w:marLeft w:val="0"/>
              <w:marRight w:val="0"/>
              <w:marTop w:val="0"/>
              <w:marBottom w:val="0"/>
              <w:divBdr>
                <w:top w:val="none" w:sz="0" w:space="0" w:color="auto"/>
                <w:left w:val="none" w:sz="0" w:space="0" w:color="auto"/>
                <w:bottom w:val="none" w:sz="0" w:space="0" w:color="auto"/>
                <w:right w:val="none" w:sz="0" w:space="0" w:color="auto"/>
              </w:divBdr>
            </w:div>
            <w:div w:id="1216241251">
              <w:marLeft w:val="0"/>
              <w:marRight w:val="0"/>
              <w:marTop w:val="0"/>
              <w:marBottom w:val="0"/>
              <w:divBdr>
                <w:top w:val="none" w:sz="0" w:space="0" w:color="auto"/>
                <w:left w:val="none" w:sz="0" w:space="0" w:color="auto"/>
                <w:bottom w:val="none" w:sz="0" w:space="0" w:color="auto"/>
                <w:right w:val="none" w:sz="0" w:space="0" w:color="auto"/>
              </w:divBdr>
            </w:div>
            <w:div w:id="647561825">
              <w:marLeft w:val="0"/>
              <w:marRight w:val="0"/>
              <w:marTop w:val="0"/>
              <w:marBottom w:val="0"/>
              <w:divBdr>
                <w:top w:val="none" w:sz="0" w:space="0" w:color="auto"/>
                <w:left w:val="none" w:sz="0" w:space="0" w:color="auto"/>
                <w:bottom w:val="none" w:sz="0" w:space="0" w:color="auto"/>
                <w:right w:val="none" w:sz="0" w:space="0" w:color="auto"/>
              </w:divBdr>
            </w:div>
            <w:div w:id="645551305">
              <w:marLeft w:val="0"/>
              <w:marRight w:val="0"/>
              <w:marTop w:val="0"/>
              <w:marBottom w:val="0"/>
              <w:divBdr>
                <w:top w:val="none" w:sz="0" w:space="0" w:color="auto"/>
                <w:left w:val="none" w:sz="0" w:space="0" w:color="auto"/>
                <w:bottom w:val="none" w:sz="0" w:space="0" w:color="auto"/>
                <w:right w:val="none" w:sz="0" w:space="0" w:color="auto"/>
              </w:divBdr>
            </w:div>
            <w:div w:id="481434500">
              <w:marLeft w:val="0"/>
              <w:marRight w:val="0"/>
              <w:marTop w:val="0"/>
              <w:marBottom w:val="0"/>
              <w:divBdr>
                <w:top w:val="none" w:sz="0" w:space="0" w:color="auto"/>
                <w:left w:val="none" w:sz="0" w:space="0" w:color="auto"/>
                <w:bottom w:val="none" w:sz="0" w:space="0" w:color="auto"/>
                <w:right w:val="none" w:sz="0" w:space="0" w:color="auto"/>
              </w:divBdr>
            </w:div>
            <w:div w:id="1063408083">
              <w:marLeft w:val="0"/>
              <w:marRight w:val="0"/>
              <w:marTop w:val="0"/>
              <w:marBottom w:val="0"/>
              <w:divBdr>
                <w:top w:val="none" w:sz="0" w:space="0" w:color="auto"/>
                <w:left w:val="none" w:sz="0" w:space="0" w:color="auto"/>
                <w:bottom w:val="none" w:sz="0" w:space="0" w:color="auto"/>
                <w:right w:val="none" w:sz="0" w:space="0" w:color="auto"/>
              </w:divBdr>
            </w:div>
            <w:div w:id="73282972">
              <w:marLeft w:val="0"/>
              <w:marRight w:val="0"/>
              <w:marTop w:val="0"/>
              <w:marBottom w:val="0"/>
              <w:divBdr>
                <w:top w:val="none" w:sz="0" w:space="0" w:color="auto"/>
                <w:left w:val="none" w:sz="0" w:space="0" w:color="auto"/>
                <w:bottom w:val="none" w:sz="0" w:space="0" w:color="auto"/>
                <w:right w:val="none" w:sz="0" w:space="0" w:color="auto"/>
              </w:divBdr>
            </w:div>
            <w:div w:id="1380788468">
              <w:marLeft w:val="0"/>
              <w:marRight w:val="0"/>
              <w:marTop w:val="0"/>
              <w:marBottom w:val="0"/>
              <w:divBdr>
                <w:top w:val="none" w:sz="0" w:space="0" w:color="auto"/>
                <w:left w:val="none" w:sz="0" w:space="0" w:color="auto"/>
                <w:bottom w:val="none" w:sz="0" w:space="0" w:color="auto"/>
                <w:right w:val="none" w:sz="0" w:space="0" w:color="auto"/>
              </w:divBdr>
            </w:div>
            <w:div w:id="499932060">
              <w:marLeft w:val="0"/>
              <w:marRight w:val="0"/>
              <w:marTop w:val="0"/>
              <w:marBottom w:val="0"/>
              <w:divBdr>
                <w:top w:val="none" w:sz="0" w:space="0" w:color="auto"/>
                <w:left w:val="none" w:sz="0" w:space="0" w:color="auto"/>
                <w:bottom w:val="none" w:sz="0" w:space="0" w:color="auto"/>
                <w:right w:val="none" w:sz="0" w:space="0" w:color="auto"/>
              </w:divBdr>
            </w:div>
            <w:div w:id="1657418973">
              <w:marLeft w:val="0"/>
              <w:marRight w:val="0"/>
              <w:marTop w:val="0"/>
              <w:marBottom w:val="0"/>
              <w:divBdr>
                <w:top w:val="none" w:sz="0" w:space="0" w:color="auto"/>
                <w:left w:val="none" w:sz="0" w:space="0" w:color="auto"/>
                <w:bottom w:val="none" w:sz="0" w:space="0" w:color="auto"/>
                <w:right w:val="none" w:sz="0" w:space="0" w:color="auto"/>
              </w:divBdr>
            </w:div>
            <w:div w:id="965744361">
              <w:marLeft w:val="0"/>
              <w:marRight w:val="0"/>
              <w:marTop w:val="0"/>
              <w:marBottom w:val="0"/>
              <w:divBdr>
                <w:top w:val="none" w:sz="0" w:space="0" w:color="auto"/>
                <w:left w:val="none" w:sz="0" w:space="0" w:color="auto"/>
                <w:bottom w:val="none" w:sz="0" w:space="0" w:color="auto"/>
                <w:right w:val="none" w:sz="0" w:space="0" w:color="auto"/>
              </w:divBdr>
            </w:div>
            <w:div w:id="2060081444">
              <w:marLeft w:val="0"/>
              <w:marRight w:val="0"/>
              <w:marTop w:val="0"/>
              <w:marBottom w:val="0"/>
              <w:divBdr>
                <w:top w:val="none" w:sz="0" w:space="0" w:color="auto"/>
                <w:left w:val="none" w:sz="0" w:space="0" w:color="auto"/>
                <w:bottom w:val="none" w:sz="0" w:space="0" w:color="auto"/>
                <w:right w:val="none" w:sz="0" w:space="0" w:color="auto"/>
              </w:divBdr>
            </w:div>
            <w:div w:id="1840466439">
              <w:marLeft w:val="0"/>
              <w:marRight w:val="0"/>
              <w:marTop w:val="0"/>
              <w:marBottom w:val="0"/>
              <w:divBdr>
                <w:top w:val="none" w:sz="0" w:space="0" w:color="auto"/>
                <w:left w:val="none" w:sz="0" w:space="0" w:color="auto"/>
                <w:bottom w:val="none" w:sz="0" w:space="0" w:color="auto"/>
                <w:right w:val="none" w:sz="0" w:space="0" w:color="auto"/>
              </w:divBdr>
            </w:div>
            <w:div w:id="219051696">
              <w:marLeft w:val="0"/>
              <w:marRight w:val="0"/>
              <w:marTop w:val="0"/>
              <w:marBottom w:val="0"/>
              <w:divBdr>
                <w:top w:val="none" w:sz="0" w:space="0" w:color="auto"/>
                <w:left w:val="none" w:sz="0" w:space="0" w:color="auto"/>
                <w:bottom w:val="none" w:sz="0" w:space="0" w:color="auto"/>
                <w:right w:val="none" w:sz="0" w:space="0" w:color="auto"/>
              </w:divBdr>
            </w:div>
            <w:div w:id="1783374645">
              <w:marLeft w:val="0"/>
              <w:marRight w:val="0"/>
              <w:marTop w:val="0"/>
              <w:marBottom w:val="0"/>
              <w:divBdr>
                <w:top w:val="none" w:sz="0" w:space="0" w:color="auto"/>
                <w:left w:val="none" w:sz="0" w:space="0" w:color="auto"/>
                <w:bottom w:val="none" w:sz="0" w:space="0" w:color="auto"/>
                <w:right w:val="none" w:sz="0" w:space="0" w:color="auto"/>
              </w:divBdr>
            </w:div>
            <w:div w:id="758254423">
              <w:marLeft w:val="0"/>
              <w:marRight w:val="0"/>
              <w:marTop w:val="0"/>
              <w:marBottom w:val="0"/>
              <w:divBdr>
                <w:top w:val="none" w:sz="0" w:space="0" w:color="auto"/>
                <w:left w:val="none" w:sz="0" w:space="0" w:color="auto"/>
                <w:bottom w:val="none" w:sz="0" w:space="0" w:color="auto"/>
                <w:right w:val="none" w:sz="0" w:space="0" w:color="auto"/>
              </w:divBdr>
            </w:div>
            <w:div w:id="592395507">
              <w:marLeft w:val="0"/>
              <w:marRight w:val="0"/>
              <w:marTop w:val="0"/>
              <w:marBottom w:val="0"/>
              <w:divBdr>
                <w:top w:val="none" w:sz="0" w:space="0" w:color="auto"/>
                <w:left w:val="none" w:sz="0" w:space="0" w:color="auto"/>
                <w:bottom w:val="none" w:sz="0" w:space="0" w:color="auto"/>
                <w:right w:val="none" w:sz="0" w:space="0" w:color="auto"/>
              </w:divBdr>
            </w:div>
            <w:div w:id="1649281760">
              <w:marLeft w:val="0"/>
              <w:marRight w:val="0"/>
              <w:marTop w:val="0"/>
              <w:marBottom w:val="0"/>
              <w:divBdr>
                <w:top w:val="none" w:sz="0" w:space="0" w:color="auto"/>
                <w:left w:val="none" w:sz="0" w:space="0" w:color="auto"/>
                <w:bottom w:val="none" w:sz="0" w:space="0" w:color="auto"/>
                <w:right w:val="none" w:sz="0" w:space="0" w:color="auto"/>
              </w:divBdr>
            </w:div>
          </w:divsChild>
        </w:div>
        <w:div w:id="636423700">
          <w:marLeft w:val="0"/>
          <w:marRight w:val="0"/>
          <w:marTop w:val="0"/>
          <w:marBottom w:val="0"/>
          <w:divBdr>
            <w:top w:val="none" w:sz="0" w:space="0" w:color="auto"/>
            <w:left w:val="none" w:sz="0" w:space="0" w:color="auto"/>
            <w:bottom w:val="none" w:sz="0" w:space="0" w:color="auto"/>
            <w:right w:val="none" w:sz="0" w:space="0" w:color="auto"/>
          </w:divBdr>
          <w:divsChild>
            <w:div w:id="2114740025">
              <w:marLeft w:val="0"/>
              <w:marRight w:val="0"/>
              <w:marTop w:val="0"/>
              <w:marBottom w:val="0"/>
              <w:divBdr>
                <w:top w:val="none" w:sz="0" w:space="0" w:color="auto"/>
                <w:left w:val="none" w:sz="0" w:space="0" w:color="auto"/>
                <w:bottom w:val="none" w:sz="0" w:space="0" w:color="auto"/>
                <w:right w:val="none" w:sz="0" w:space="0" w:color="auto"/>
              </w:divBdr>
            </w:div>
            <w:div w:id="2028411331">
              <w:marLeft w:val="0"/>
              <w:marRight w:val="0"/>
              <w:marTop w:val="0"/>
              <w:marBottom w:val="0"/>
              <w:divBdr>
                <w:top w:val="none" w:sz="0" w:space="0" w:color="auto"/>
                <w:left w:val="none" w:sz="0" w:space="0" w:color="auto"/>
                <w:bottom w:val="none" w:sz="0" w:space="0" w:color="auto"/>
                <w:right w:val="none" w:sz="0" w:space="0" w:color="auto"/>
              </w:divBdr>
            </w:div>
            <w:div w:id="601034132">
              <w:marLeft w:val="0"/>
              <w:marRight w:val="0"/>
              <w:marTop w:val="0"/>
              <w:marBottom w:val="0"/>
              <w:divBdr>
                <w:top w:val="none" w:sz="0" w:space="0" w:color="auto"/>
                <w:left w:val="none" w:sz="0" w:space="0" w:color="auto"/>
                <w:bottom w:val="none" w:sz="0" w:space="0" w:color="auto"/>
                <w:right w:val="none" w:sz="0" w:space="0" w:color="auto"/>
              </w:divBdr>
            </w:div>
            <w:div w:id="267395936">
              <w:marLeft w:val="0"/>
              <w:marRight w:val="0"/>
              <w:marTop w:val="0"/>
              <w:marBottom w:val="0"/>
              <w:divBdr>
                <w:top w:val="none" w:sz="0" w:space="0" w:color="auto"/>
                <w:left w:val="none" w:sz="0" w:space="0" w:color="auto"/>
                <w:bottom w:val="none" w:sz="0" w:space="0" w:color="auto"/>
                <w:right w:val="none" w:sz="0" w:space="0" w:color="auto"/>
              </w:divBdr>
            </w:div>
            <w:div w:id="555047430">
              <w:marLeft w:val="0"/>
              <w:marRight w:val="0"/>
              <w:marTop w:val="0"/>
              <w:marBottom w:val="0"/>
              <w:divBdr>
                <w:top w:val="none" w:sz="0" w:space="0" w:color="auto"/>
                <w:left w:val="none" w:sz="0" w:space="0" w:color="auto"/>
                <w:bottom w:val="none" w:sz="0" w:space="0" w:color="auto"/>
                <w:right w:val="none" w:sz="0" w:space="0" w:color="auto"/>
              </w:divBdr>
            </w:div>
            <w:div w:id="2144351645">
              <w:marLeft w:val="0"/>
              <w:marRight w:val="0"/>
              <w:marTop w:val="0"/>
              <w:marBottom w:val="0"/>
              <w:divBdr>
                <w:top w:val="none" w:sz="0" w:space="0" w:color="auto"/>
                <w:left w:val="none" w:sz="0" w:space="0" w:color="auto"/>
                <w:bottom w:val="none" w:sz="0" w:space="0" w:color="auto"/>
                <w:right w:val="none" w:sz="0" w:space="0" w:color="auto"/>
              </w:divBdr>
            </w:div>
            <w:div w:id="1605264037">
              <w:marLeft w:val="0"/>
              <w:marRight w:val="0"/>
              <w:marTop w:val="0"/>
              <w:marBottom w:val="0"/>
              <w:divBdr>
                <w:top w:val="none" w:sz="0" w:space="0" w:color="auto"/>
                <w:left w:val="none" w:sz="0" w:space="0" w:color="auto"/>
                <w:bottom w:val="none" w:sz="0" w:space="0" w:color="auto"/>
                <w:right w:val="none" w:sz="0" w:space="0" w:color="auto"/>
              </w:divBdr>
            </w:div>
            <w:div w:id="840117947">
              <w:marLeft w:val="0"/>
              <w:marRight w:val="0"/>
              <w:marTop w:val="0"/>
              <w:marBottom w:val="0"/>
              <w:divBdr>
                <w:top w:val="none" w:sz="0" w:space="0" w:color="auto"/>
                <w:left w:val="none" w:sz="0" w:space="0" w:color="auto"/>
                <w:bottom w:val="none" w:sz="0" w:space="0" w:color="auto"/>
                <w:right w:val="none" w:sz="0" w:space="0" w:color="auto"/>
              </w:divBdr>
            </w:div>
            <w:div w:id="1806779660">
              <w:marLeft w:val="0"/>
              <w:marRight w:val="0"/>
              <w:marTop w:val="0"/>
              <w:marBottom w:val="0"/>
              <w:divBdr>
                <w:top w:val="none" w:sz="0" w:space="0" w:color="auto"/>
                <w:left w:val="none" w:sz="0" w:space="0" w:color="auto"/>
                <w:bottom w:val="none" w:sz="0" w:space="0" w:color="auto"/>
                <w:right w:val="none" w:sz="0" w:space="0" w:color="auto"/>
              </w:divBdr>
            </w:div>
            <w:div w:id="218438593">
              <w:marLeft w:val="0"/>
              <w:marRight w:val="0"/>
              <w:marTop w:val="0"/>
              <w:marBottom w:val="0"/>
              <w:divBdr>
                <w:top w:val="none" w:sz="0" w:space="0" w:color="auto"/>
                <w:left w:val="none" w:sz="0" w:space="0" w:color="auto"/>
                <w:bottom w:val="none" w:sz="0" w:space="0" w:color="auto"/>
                <w:right w:val="none" w:sz="0" w:space="0" w:color="auto"/>
              </w:divBdr>
            </w:div>
            <w:div w:id="1989627211">
              <w:marLeft w:val="0"/>
              <w:marRight w:val="0"/>
              <w:marTop w:val="0"/>
              <w:marBottom w:val="0"/>
              <w:divBdr>
                <w:top w:val="none" w:sz="0" w:space="0" w:color="auto"/>
                <w:left w:val="none" w:sz="0" w:space="0" w:color="auto"/>
                <w:bottom w:val="none" w:sz="0" w:space="0" w:color="auto"/>
                <w:right w:val="none" w:sz="0" w:space="0" w:color="auto"/>
              </w:divBdr>
            </w:div>
            <w:div w:id="1584488984">
              <w:marLeft w:val="0"/>
              <w:marRight w:val="0"/>
              <w:marTop w:val="0"/>
              <w:marBottom w:val="0"/>
              <w:divBdr>
                <w:top w:val="none" w:sz="0" w:space="0" w:color="auto"/>
                <w:left w:val="none" w:sz="0" w:space="0" w:color="auto"/>
                <w:bottom w:val="none" w:sz="0" w:space="0" w:color="auto"/>
                <w:right w:val="none" w:sz="0" w:space="0" w:color="auto"/>
              </w:divBdr>
            </w:div>
            <w:div w:id="1716195419">
              <w:marLeft w:val="0"/>
              <w:marRight w:val="0"/>
              <w:marTop w:val="0"/>
              <w:marBottom w:val="0"/>
              <w:divBdr>
                <w:top w:val="none" w:sz="0" w:space="0" w:color="auto"/>
                <w:left w:val="none" w:sz="0" w:space="0" w:color="auto"/>
                <w:bottom w:val="none" w:sz="0" w:space="0" w:color="auto"/>
                <w:right w:val="none" w:sz="0" w:space="0" w:color="auto"/>
              </w:divBdr>
            </w:div>
            <w:div w:id="186527548">
              <w:marLeft w:val="0"/>
              <w:marRight w:val="0"/>
              <w:marTop w:val="0"/>
              <w:marBottom w:val="0"/>
              <w:divBdr>
                <w:top w:val="none" w:sz="0" w:space="0" w:color="auto"/>
                <w:left w:val="none" w:sz="0" w:space="0" w:color="auto"/>
                <w:bottom w:val="none" w:sz="0" w:space="0" w:color="auto"/>
                <w:right w:val="none" w:sz="0" w:space="0" w:color="auto"/>
              </w:divBdr>
            </w:div>
            <w:div w:id="396250481">
              <w:marLeft w:val="0"/>
              <w:marRight w:val="0"/>
              <w:marTop w:val="0"/>
              <w:marBottom w:val="0"/>
              <w:divBdr>
                <w:top w:val="none" w:sz="0" w:space="0" w:color="auto"/>
                <w:left w:val="none" w:sz="0" w:space="0" w:color="auto"/>
                <w:bottom w:val="none" w:sz="0" w:space="0" w:color="auto"/>
                <w:right w:val="none" w:sz="0" w:space="0" w:color="auto"/>
              </w:divBdr>
            </w:div>
            <w:div w:id="1002901205">
              <w:marLeft w:val="0"/>
              <w:marRight w:val="0"/>
              <w:marTop w:val="0"/>
              <w:marBottom w:val="0"/>
              <w:divBdr>
                <w:top w:val="none" w:sz="0" w:space="0" w:color="auto"/>
                <w:left w:val="none" w:sz="0" w:space="0" w:color="auto"/>
                <w:bottom w:val="none" w:sz="0" w:space="0" w:color="auto"/>
                <w:right w:val="none" w:sz="0" w:space="0" w:color="auto"/>
              </w:divBdr>
            </w:div>
            <w:div w:id="2003002689">
              <w:marLeft w:val="0"/>
              <w:marRight w:val="0"/>
              <w:marTop w:val="0"/>
              <w:marBottom w:val="0"/>
              <w:divBdr>
                <w:top w:val="none" w:sz="0" w:space="0" w:color="auto"/>
                <w:left w:val="none" w:sz="0" w:space="0" w:color="auto"/>
                <w:bottom w:val="none" w:sz="0" w:space="0" w:color="auto"/>
                <w:right w:val="none" w:sz="0" w:space="0" w:color="auto"/>
              </w:divBdr>
            </w:div>
            <w:div w:id="611863561">
              <w:marLeft w:val="0"/>
              <w:marRight w:val="0"/>
              <w:marTop w:val="0"/>
              <w:marBottom w:val="0"/>
              <w:divBdr>
                <w:top w:val="none" w:sz="0" w:space="0" w:color="auto"/>
                <w:left w:val="none" w:sz="0" w:space="0" w:color="auto"/>
                <w:bottom w:val="none" w:sz="0" w:space="0" w:color="auto"/>
                <w:right w:val="none" w:sz="0" w:space="0" w:color="auto"/>
              </w:divBdr>
            </w:div>
            <w:div w:id="590503095">
              <w:marLeft w:val="0"/>
              <w:marRight w:val="0"/>
              <w:marTop w:val="0"/>
              <w:marBottom w:val="0"/>
              <w:divBdr>
                <w:top w:val="none" w:sz="0" w:space="0" w:color="auto"/>
                <w:left w:val="none" w:sz="0" w:space="0" w:color="auto"/>
                <w:bottom w:val="none" w:sz="0" w:space="0" w:color="auto"/>
                <w:right w:val="none" w:sz="0" w:space="0" w:color="auto"/>
              </w:divBdr>
            </w:div>
            <w:div w:id="1840466193">
              <w:marLeft w:val="0"/>
              <w:marRight w:val="0"/>
              <w:marTop w:val="0"/>
              <w:marBottom w:val="0"/>
              <w:divBdr>
                <w:top w:val="none" w:sz="0" w:space="0" w:color="auto"/>
                <w:left w:val="none" w:sz="0" w:space="0" w:color="auto"/>
                <w:bottom w:val="none" w:sz="0" w:space="0" w:color="auto"/>
                <w:right w:val="none" w:sz="0" w:space="0" w:color="auto"/>
              </w:divBdr>
            </w:div>
          </w:divsChild>
        </w:div>
        <w:div w:id="719744415">
          <w:marLeft w:val="0"/>
          <w:marRight w:val="0"/>
          <w:marTop w:val="0"/>
          <w:marBottom w:val="0"/>
          <w:divBdr>
            <w:top w:val="none" w:sz="0" w:space="0" w:color="auto"/>
            <w:left w:val="none" w:sz="0" w:space="0" w:color="auto"/>
            <w:bottom w:val="none" w:sz="0" w:space="0" w:color="auto"/>
            <w:right w:val="none" w:sz="0" w:space="0" w:color="auto"/>
          </w:divBdr>
          <w:divsChild>
            <w:div w:id="981541898">
              <w:marLeft w:val="0"/>
              <w:marRight w:val="0"/>
              <w:marTop w:val="0"/>
              <w:marBottom w:val="0"/>
              <w:divBdr>
                <w:top w:val="none" w:sz="0" w:space="0" w:color="auto"/>
                <w:left w:val="none" w:sz="0" w:space="0" w:color="auto"/>
                <w:bottom w:val="none" w:sz="0" w:space="0" w:color="auto"/>
                <w:right w:val="none" w:sz="0" w:space="0" w:color="auto"/>
              </w:divBdr>
            </w:div>
            <w:div w:id="402872293">
              <w:marLeft w:val="0"/>
              <w:marRight w:val="0"/>
              <w:marTop w:val="0"/>
              <w:marBottom w:val="0"/>
              <w:divBdr>
                <w:top w:val="none" w:sz="0" w:space="0" w:color="auto"/>
                <w:left w:val="none" w:sz="0" w:space="0" w:color="auto"/>
                <w:bottom w:val="none" w:sz="0" w:space="0" w:color="auto"/>
                <w:right w:val="none" w:sz="0" w:space="0" w:color="auto"/>
              </w:divBdr>
            </w:div>
            <w:div w:id="2102214494">
              <w:marLeft w:val="0"/>
              <w:marRight w:val="0"/>
              <w:marTop w:val="0"/>
              <w:marBottom w:val="0"/>
              <w:divBdr>
                <w:top w:val="none" w:sz="0" w:space="0" w:color="auto"/>
                <w:left w:val="none" w:sz="0" w:space="0" w:color="auto"/>
                <w:bottom w:val="none" w:sz="0" w:space="0" w:color="auto"/>
                <w:right w:val="none" w:sz="0" w:space="0" w:color="auto"/>
              </w:divBdr>
            </w:div>
            <w:div w:id="371687349">
              <w:marLeft w:val="0"/>
              <w:marRight w:val="0"/>
              <w:marTop w:val="0"/>
              <w:marBottom w:val="0"/>
              <w:divBdr>
                <w:top w:val="none" w:sz="0" w:space="0" w:color="auto"/>
                <w:left w:val="none" w:sz="0" w:space="0" w:color="auto"/>
                <w:bottom w:val="none" w:sz="0" w:space="0" w:color="auto"/>
                <w:right w:val="none" w:sz="0" w:space="0" w:color="auto"/>
              </w:divBdr>
            </w:div>
            <w:div w:id="1871914065">
              <w:marLeft w:val="0"/>
              <w:marRight w:val="0"/>
              <w:marTop w:val="0"/>
              <w:marBottom w:val="0"/>
              <w:divBdr>
                <w:top w:val="none" w:sz="0" w:space="0" w:color="auto"/>
                <w:left w:val="none" w:sz="0" w:space="0" w:color="auto"/>
                <w:bottom w:val="none" w:sz="0" w:space="0" w:color="auto"/>
                <w:right w:val="none" w:sz="0" w:space="0" w:color="auto"/>
              </w:divBdr>
            </w:div>
            <w:div w:id="1513686953">
              <w:marLeft w:val="0"/>
              <w:marRight w:val="0"/>
              <w:marTop w:val="0"/>
              <w:marBottom w:val="0"/>
              <w:divBdr>
                <w:top w:val="none" w:sz="0" w:space="0" w:color="auto"/>
                <w:left w:val="none" w:sz="0" w:space="0" w:color="auto"/>
                <w:bottom w:val="none" w:sz="0" w:space="0" w:color="auto"/>
                <w:right w:val="none" w:sz="0" w:space="0" w:color="auto"/>
              </w:divBdr>
            </w:div>
            <w:div w:id="2075426098">
              <w:marLeft w:val="0"/>
              <w:marRight w:val="0"/>
              <w:marTop w:val="0"/>
              <w:marBottom w:val="0"/>
              <w:divBdr>
                <w:top w:val="none" w:sz="0" w:space="0" w:color="auto"/>
                <w:left w:val="none" w:sz="0" w:space="0" w:color="auto"/>
                <w:bottom w:val="none" w:sz="0" w:space="0" w:color="auto"/>
                <w:right w:val="none" w:sz="0" w:space="0" w:color="auto"/>
              </w:divBdr>
            </w:div>
            <w:div w:id="287590652">
              <w:marLeft w:val="0"/>
              <w:marRight w:val="0"/>
              <w:marTop w:val="0"/>
              <w:marBottom w:val="0"/>
              <w:divBdr>
                <w:top w:val="none" w:sz="0" w:space="0" w:color="auto"/>
                <w:left w:val="none" w:sz="0" w:space="0" w:color="auto"/>
                <w:bottom w:val="none" w:sz="0" w:space="0" w:color="auto"/>
                <w:right w:val="none" w:sz="0" w:space="0" w:color="auto"/>
              </w:divBdr>
            </w:div>
            <w:div w:id="2442842">
              <w:marLeft w:val="0"/>
              <w:marRight w:val="0"/>
              <w:marTop w:val="0"/>
              <w:marBottom w:val="0"/>
              <w:divBdr>
                <w:top w:val="none" w:sz="0" w:space="0" w:color="auto"/>
                <w:left w:val="none" w:sz="0" w:space="0" w:color="auto"/>
                <w:bottom w:val="none" w:sz="0" w:space="0" w:color="auto"/>
                <w:right w:val="none" w:sz="0" w:space="0" w:color="auto"/>
              </w:divBdr>
            </w:div>
            <w:div w:id="192116712">
              <w:marLeft w:val="0"/>
              <w:marRight w:val="0"/>
              <w:marTop w:val="0"/>
              <w:marBottom w:val="0"/>
              <w:divBdr>
                <w:top w:val="none" w:sz="0" w:space="0" w:color="auto"/>
                <w:left w:val="none" w:sz="0" w:space="0" w:color="auto"/>
                <w:bottom w:val="none" w:sz="0" w:space="0" w:color="auto"/>
                <w:right w:val="none" w:sz="0" w:space="0" w:color="auto"/>
              </w:divBdr>
            </w:div>
            <w:div w:id="800685317">
              <w:marLeft w:val="0"/>
              <w:marRight w:val="0"/>
              <w:marTop w:val="0"/>
              <w:marBottom w:val="0"/>
              <w:divBdr>
                <w:top w:val="none" w:sz="0" w:space="0" w:color="auto"/>
                <w:left w:val="none" w:sz="0" w:space="0" w:color="auto"/>
                <w:bottom w:val="none" w:sz="0" w:space="0" w:color="auto"/>
                <w:right w:val="none" w:sz="0" w:space="0" w:color="auto"/>
              </w:divBdr>
            </w:div>
            <w:div w:id="1273123902">
              <w:marLeft w:val="0"/>
              <w:marRight w:val="0"/>
              <w:marTop w:val="0"/>
              <w:marBottom w:val="0"/>
              <w:divBdr>
                <w:top w:val="none" w:sz="0" w:space="0" w:color="auto"/>
                <w:left w:val="none" w:sz="0" w:space="0" w:color="auto"/>
                <w:bottom w:val="none" w:sz="0" w:space="0" w:color="auto"/>
                <w:right w:val="none" w:sz="0" w:space="0" w:color="auto"/>
              </w:divBdr>
            </w:div>
            <w:div w:id="1920671016">
              <w:marLeft w:val="0"/>
              <w:marRight w:val="0"/>
              <w:marTop w:val="0"/>
              <w:marBottom w:val="0"/>
              <w:divBdr>
                <w:top w:val="none" w:sz="0" w:space="0" w:color="auto"/>
                <w:left w:val="none" w:sz="0" w:space="0" w:color="auto"/>
                <w:bottom w:val="none" w:sz="0" w:space="0" w:color="auto"/>
                <w:right w:val="none" w:sz="0" w:space="0" w:color="auto"/>
              </w:divBdr>
            </w:div>
            <w:div w:id="325910909">
              <w:marLeft w:val="0"/>
              <w:marRight w:val="0"/>
              <w:marTop w:val="0"/>
              <w:marBottom w:val="0"/>
              <w:divBdr>
                <w:top w:val="none" w:sz="0" w:space="0" w:color="auto"/>
                <w:left w:val="none" w:sz="0" w:space="0" w:color="auto"/>
                <w:bottom w:val="none" w:sz="0" w:space="0" w:color="auto"/>
                <w:right w:val="none" w:sz="0" w:space="0" w:color="auto"/>
              </w:divBdr>
            </w:div>
            <w:div w:id="4400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72316/Statutory_Induction_Guidance_2021_final__002_____1___1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65522/Teachers_standard_inform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8358/Early-Career_Framework_April_20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b4a0d5c59a44039cb9faf11b47384e xmlns="91134ee4-e2de-43e4-8564-fbb423509a78">
      <Terms xmlns="http://schemas.microsoft.com/office/infopath/2007/PartnerControls"/>
    </ecb4a0d5c59a44039cb9faf11b47384e>
    <lcf76f155ced4ddcb4097134ff3c332f xmlns="6dc79583-5a2c-4488-831a-0e0e12292cb8">
      <Terms xmlns="http://schemas.microsoft.com/office/infopath/2007/PartnerControls"/>
    </lcf76f155ced4ddcb4097134ff3c332f>
    <TaxCatchAll xmlns="91134ee4-e2de-43e4-8564-fbb423509a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DFF0864DC2A4082F44C9E5BF0BBA6" ma:contentTypeVersion="13" ma:contentTypeDescription="Create a new document." ma:contentTypeScope="" ma:versionID="729ebe562633f31f5cd31bd20b0afbf2">
  <xsd:schema xmlns:xsd="http://www.w3.org/2001/XMLSchema" xmlns:xs="http://www.w3.org/2001/XMLSchema" xmlns:p="http://schemas.microsoft.com/office/2006/metadata/properties" xmlns:ns2="91134ee4-e2de-43e4-8564-fbb423509a78" xmlns:ns3="6dc79583-5a2c-4488-831a-0e0e12292cb8" targetNamespace="http://schemas.microsoft.com/office/2006/metadata/properties" ma:root="true" ma:fieldsID="43dcdcacb0e60c9e64fb1726bf106c90" ns2:_="" ns3:_="">
    <xsd:import namespace="91134ee4-e2de-43e4-8564-fbb423509a78"/>
    <xsd:import namespace="6dc79583-5a2c-4488-831a-0e0e12292cb8"/>
    <xsd:element name="properties">
      <xsd:complexType>
        <xsd:sequence>
          <xsd:element name="documentManagement">
            <xsd:complexType>
              <xsd:all>
                <xsd:element ref="ns2:ecb4a0d5c59a44039cb9faf11b47384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34ee4-e2de-43e4-8564-fbb423509a78" elementFormDefault="qualified">
    <xsd:import namespace="http://schemas.microsoft.com/office/2006/documentManagement/types"/>
    <xsd:import namespace="http://schemas.microsoft.com/office/infopath/2007/PartnerControls"/>
    <xsd:element name="ecb4a0d5c59a44039cb9faf11b47384e" ma:index="9" nillable="true" ma:taxonomy="true" ma:internalName="ecb4a0d5c59a44039cb9faf11b47384e" ma:taxonomyFieldName="Staff_x0020_Category" ma:displayName="Staff Category" ma:fieldId="{ecb4a0d5-c59a-4403-9cb9-faf11b47384e}" ma:sspId="5296db18-9df2-4e7a-9acd-e5ce9e2438a9" ma:termSetId="64a2ba5d-58f0-4209-bc83-78333e5a12b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129089b-ec46-4475-bdf3-cd24646ed8ad}" ma:internalName="TaxCatchAll" ma:showField="CatchAllData" ma:web="91134ee4-e2de-43e4-8564-fbb423509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c79583-5a2c-4488-831a-0e0e12292c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s>
</ds:datastoreItem>
</file>

<file path=customXml/itemProps2.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3.xml><?xml version="1.0" encoding="utf-8"?>
<ds:datastoreItem xmlns:ds="http://schemas.openxmlformats.org/officeDocument/2006/customXml" ds:itemID="{CACD19F0-8A73-4C1F-ACFD-C5D539EB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34ee4-e2de-43e4-8564-fbb423509a78"/>
    <ds:schemaRef ds:uri="6dc79583-5a2c-4488-831a-0e0e12292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thomasdeaconacademy.com</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2</cp:revision>
  <dcterms:created xsi:type="dcterms:W3CDTF">2025-06-19T10:31:00Z</dcterms:created>
  <dcterms:modified xsi:type="dcterms:W3CDTF">2025-06-19T10:31:00Z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0x010100F5ADFF0864DC2A4082F44C9E5BF0BBA6</vt:lpwstr>
  </property>
</Properties>
</file>